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D72" w:rsidRDefault="00272D72" w:rsidP="00272D72">
      <w:pPr>
        <w:pStyle w:val="bpuBill"/>
      </w:pPr>
      <w:bookmarkStart w:id="0" w:name="bpuFrontPg"/>
      <w:bookmarkStart w:id="1" w:name="_GoBack"/>
      <w:bookmarkEnd w:id="0"/>
      <w:bookmarkEnd w:id="1"/>
      <w:r>
        <w:t xml:space="preserve">SENATE, No. 3172 </w:t>
      </w:r>
    </w:p>
    <w:p w:rsidR="00272D72" w:rsidRPr="009D38FF" w:rsidRDefault="00272D72" w:rsidP="00272D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207" r:id="rId7"/>
        </w:object>
      </w:r>
    </w:p>
    <w:p w:rsidR="00272D72" w:rsidRDefault="00272D72" w:rsidP="00272D72">
      <w:pPr>
        <w:pStyle w:val="bpuState"/>
      </w:pPr>
      <w:r>
        <w:t>STATE OF NEW JERSEY</w:t>
      </w:r>
    </w:p>
    <w:p w:rsidR="00272D72" w:rsidRDefault="00272D72" w:rsidP="00272D72">
      <w:pPr>
        <w:pStyle w:val="bpuLegislature"/>
      </w:pPr>
      <w:r>
        <w:t>219th LEGISLATURE</w:t>
      </w:r>
    </w:p>
    <w:p w:rsidR="00272D72" w:rsidRDefault="00272D72" w:rsidP="00272D72">
      <w:pPr>
        <w:pStyle w:val="bpuWpGraphic"/>
      </w:pPr>
      <w:r>
        <w:object w:dxaOrig="8985" w:dyaOrig="255">
          <v:shape id="_x0000_i1026" type="#_x0000_t75" style="width:6in;height:12pt" o:ole="">
            <v:imagedata r:id="rId6" o:title=""/>
          </v:shape>
          <o:OLEObject Type="Embed" ProgID="WPWin6.1" ShapeID="_x0000_i1026" DrawAspect="Content" ObjectID="_1666764208" r:id="rId8"/>
        </w:object>
      </w:r>
      <w:r>
        <w:t xml:space="preserve">  </w:t>
      </w:r>
    </w:p>
    <w:p w:rsidR="00272D72" w:rsidRDefault="00272D72" w:rsidP="00272D72">
      <w:pPr>
        <w:pStyle w:val="bpuIntro"/>
      </w:pPr>
      <w:r>
        <w:t>INTRODUCED NOVEMBER 12, 2020</w:t>
      </w:r>
    </w:p>
    <w:p w:rsidR="00272D72" w:rsidRDefault="00272D72" w:rsidP="00272D72">
      <w:pPr>
        <w:pStyle w:val="bpuIntro"/>
      </w:pPr>
    </w:p>
    <w:p w:rsidR="00272D72" w:rsidRDefault="00272D72" w:rsidP="00272D72">
      <w:pPr>
        <w:pStyle w:val="bpuIntro"/>
        <w:sectPr w:rsidR="00272D72" w:rsidSect="00272D72">
          <w:headerReference w:type="even" r:id="rId9"/>
          <w:headerReference w:type="default" r:id="rId10"/>
          <w:pgSz w:w="12240" w:h="20160" w:code="5"/>
          <w:pgMar w:top="2160" w:right="1440" w:bottom="1440" w:left="1440" w:header="72" w:footer="720" w:gutter="0"/>
          <w:pgNumType w:start="1"/>
          <w:cols w:space="720"/>
          <w:docGrid w:linePitch="360"/>
        </w:sectPr>
      </w:pPr>
    </w:p>
    <w:p w:rsidR="00272D72" w:rsidRDefault="00272D72" w:rsidP="00272D72">
      <w:pPr>
        <w:pStyle w:val="bpuIntro"/>
      </w:pPr>
    </w:p>
    <w:p w:rsidR="00272D72" w:rsidRDefault="00272D72" w:rsidP="00272D72">
      <w:pPr>
        <w:pStyle w:val="bpuSponsor"/>
      </w:pPr>
      <w:r>
        <w:t>Sponsored by:</w:t>
      </w:r>
    </w:p>
    <w:p w:rsidR="00272D72" w:rsidRDefault="00272D72" w:rsidP="00272D72">
      <w:pPr>
        <w:pStyle w:val="bpuSponsor"/>
      </w:pPr>
      <w:r>
        <w:t>Senator  VIN GOPAL</w:t>
      </w:r>
    </w:p>
    <w:p w:rsidR="00272D72" w:rsidRDefault="00272D72" w:rsidP="00272D72">
      <w:pPr>
        <w:pStyle w:val="bpuSponsor"/>
      </w:pPr>
      <w:r>
        <w:t>District 11 (Monmouth)</w:t>
      </w:r>
    </w:p>
    <w:p w:rsidR="00272D72" w:rsidRDefault="00272D72" w:rsidP="00272D72">
      <w:pPr>
        <w:pStyle w:val="bpuSponsor"/>
      </w:pPr>
    </w:p>
    <w:p w:rsidR="00272D72" w:rsidRDefault="00272D72" w:rsidP="00272D72">
      <w:pPr>
        <w:pStyle w:val="bpuSponsor"/>
      </w:pPr>
    </w:p>
    <w:p w:rsidR="00272D72" w:rsidRDefault="00272D72" w:rsidP="00272D72">
      <w:pPr>
        <w:pStyle w:val="bpuSponsor"/>
      </w:pPr>
    </w:p>
    <w:p w:rsidR="00272D72" w:rsidRDefault="00272D72" w:rsidP="00272D72">
      <w:pPr>
        <w:pStyle w:val="bpuSponsor"/>
      </w:pPr>
    </w:p>
    <w:p w:rsidR="00272D72" w:rsidRDefault="00272D72" w:rsidP="00272D72">
      <w:pPr>
        <w:pStyle w:val="bpuSponsor"/>
      </w:pPr>
      <w:r>
        <w:t>SYNOPSIS</w:t>
      </w:r>
    </w:p>
    <w:p w:rsidR="00272D72" w:rsidRDefault="00272D72" w:rsidP="00272D72">
      <w:pPr>
        <w:pStyle w:val="bpuNormText"/>
      </w:pPr>
      <w:r>
        <w:tab/>
        <w:t xml:space="preserve">Expands parties who must receive affidavit of merit in malpractice or negligence cases. </w:t>
      </w:r>
    </w:p>
    <w:p w:rsidR="00272D72" w:rsidRDefault="00272D72" w:rsidP="00272D72">
      <w:pPr>
        <w:pStyle w:val="bpuNormText"/>
      </w:pPr>
    </w:p>
    <w:p w:rsidR="00272D72" w:rsidRDefault="00272D72" w:rsidP="00272D72">
      <w:pPr>
        <w:pStyle w:val="bpuSponsor"/>
      </w:pPr>
      <w:r>
        <w:t xml:space="preserve">CURRENT VERSION OF TEXT </w:t>
      </w:r>
    </w:p>
    <w:p w:rsidR="00272D72" w:rsidRDefault="00272D72" w:rsidP="00272D72">
      <w:pPr>
        <w:pStyle w:val="bpuNormText"/>
      </w:pPr>
      <w:r>
        <w:tab/>
        <w:t>As introduced.</w:t>
      </w:r>
    </w:p>
    <w:p w:rsidR="00272D72" w:rsidRDefault="00272D72" w:rsidP="00272D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2D72" w:rsidRDefault="00272D72" w:rsidP="008916EC">
      <w:pPr>
        <w:pStyle w:val="FronterPage"/>
        <w:tabs>
          <w:tab w:val="clear" w:pos="720"/>
          <w:tab w:val="clear" w:pos="1440"/>
          <w:tab w:val="clear" w:pos="2160"/>
          <w:tab w:val="clear" w:pos="2880"/>
          <w:tab w:val="clear" w:pos="3600"/>
          <w:tab w:val="clear" w:pos="4320"/>
          <w:tab w:val="clear" w:pos="5040"/>
        </w:tabs>
        <w:sectPr w:rsidR="00272D72" w:rsidSect="00272D72">
          <w:type w:val="continuous"/>
          <w:pgSz w:w="12240" w:h="20160" w:code="5"/>
          <w:pgMar w:top="1440" w:right="2275" w:bottom="1440" w:left="2275" w:header="72" w:footer="720" w:gutter="0"/>
          <w:pgNumType w:start="1"/>
          <w:cols w:space="720"/>
          <w:docGrid w:linePitch="360"/>
        </w:sectPr>
      </w:pPr>
    </w:p>
    <w:p w:rsidR="00686AEB" w:rsidRPr="00677316" w:rsidRDefault="00915A0C" w:rsidP="003E47BA">
      <w:pPr>
        <w:pStyle w:val="HangingAnAct"/>
        <w:rPr>
          <w:rStyle w:val="HangingAnActChar"/>
        </w:rPr>
      </w:pPr>
      <w:r>
        <w:rPr>
          <w:rStyle w:val="BillHead"/>
        </w:rPr>
        <w:lastRenderedPageBreak/>
        <w:t>An Act</w:t>
      </w:r>
      <w:r w:rsidR="00686AEB" w:rsidRPr="006B7FA7">
        <w:rPr>
          <w:rStyle w:val="HangingAnActChar"/>
        </w:rPr>
        <w:t xml:space="preserve"> </w:t>
      </w:r>
      <w:r w:rsidR="00EA0F90">
        <w:rPr>
          <w:rStyle w:val="HangingAnActChar"/>
        </w:rPr>
        <w:t>concerning affid</w:t>
      </w:r>
      <w:r w:rsidR="0065799D">
        <w:rPr>
          <w:rStyle w:val="HangingAnActChar"/>
        </w:rPr>
        <w:t>avit of merit and amending P.L.</w:t>
      </w:r>
      <w:r w:rsidR="00EA0F90">
        <w:rPr>
          <w:rStyle w:val="HangingAnActChar"/>
        </w:rPr>
        <w:t>1995, c.139.</w:t>
      </w:r>
    </w:p>
    <w:p w:rsidR="000B1054" w:rsidRPr="00D71D68" w:rsidRDefault="000B1054" w:rsidP="000B1054"/>
    <w:p w:rsidR="00686AEB" w:rsidRPr="00AA7880" w:rsidRDefault="00686AEB" w:rsidP="00686AEB">
      <w:r>
        <w:tab/>
      </w:r>
      <w:r w:rsidR="00915A0C">
        <w:rPr>
          <w:rStyle w:val="BillHeading2"/>
        </w:rPr>
        <w:t>Be It Enacted</w:t>
      </w:r>
      <w:r>
        <w:rPr>
          <w:rStyle w:val="BillHeading2"/>
        </w:rPr>
        <w:t xml:space="preserve"> </w:t>
      </w:r>
      <w:r w:rsidR="00915A0C">
        <w:rPr>
          <w:rStyle w:val="BillLanguage"/>
        </w:rPr>
        <w:t>by the Senate and General Assembly of the State of New Jersey:</w:t>
      </w:r>
    </w:p>
    <w:p w:rsidR="00686AEB" w:rsidRDefault="00686AEB" w:rsidP="00686AEB"/>
    <w:p w:rsidR="00752D24" w:rsidRDefault="00752D24" w:rsidP="00686AEB">
      <w:r>
        <w:tab/>
        <w:t>1.</w:t>
      </w:r>
      <w:r>
        <w:tab/>
      </w:r>
      <w:r w:rsidR="001339A1">
        <w:t>Section 2 of P.L.1995,</w:t>
      </w:r>
      <w:r w:rsidR="0098448B">
        <w:t xml:space="preserve"> c.</w:t>
      </w:r>
      <w:r w:rsidR="001339A1">
        <w:t>139</w:t>
      </w:r>
      <w:r w:rsidR="0098448B">
        <w:t xml:space="preserve"> (C2A:53A-27) is amended to read as follows:</w:t>
      </w:r>
    </w:p>
    <w:p w:rsidR="00ED0D5F" w:rsidRDefault="00ED0D5F" w:rsidP="00ED0D5F">
      <w:r>
        <w:tab/>
        <w:t>2.</w:t>
      </w:r>
      <w:r>
        <w:tab/>
        <w:t xml:space="preserve">In any action for damages for personal injuries, wrongful death or property damage resulting from an alleged act of malpractice or negligence by a licensed person in his profession or occupation, the plaintiff shall, within 60 days following the date of filing of </w:t>
      </w:r>
      <w:r w:rsidRPr="00ED0D5F">
        <w:rPr>
          <w:rFonts w:ascii="Albertus Extra Bold" w:hAnsi="Albertus Extra Bold"/>
          <w:b/>
        </w:rPr>
        <w:t>[</w:t>
      </w:r>
      <w:r>
        <w:t>the answer to the complaint by the defendant</w:t>
      </w:r>
      <w:r w:rsidRPr="00ED0D5F">
        <w:rPr>
          <w:rFonts w:ascii="Albertus Extra Bold" w:hAnsi="Albertus Extra Bold"/>
          <w:b/>
        </w:rPr>
        <w:t>]</w:t>
      </w:r>
      <w:r>
        <w:t xml:space="preserve"> </w:t>
      </w:r>
      <w:r>
        <w:rPr>
          <w:u w:val="single"/>
        </w:rPr>
        <w:t>any pleading in which such malpractice or negligence is asserted</w:t>
      </w:r>
      <w:r>
        <w:t xml:space="preserve">, provide each </w:t>
      </w:r>
      <w:r w:rsidRPr="00ED0D5F">
        <w:rPr>
          <w:rFonts w:ascii="Albertus Extra Bold" w:hAnsi="Albertus Extra Bold"/>
          <w:b/>
        </w:rPr>
        <w:t>[</w:t>
      </w:r>
      <w:r>
        <w:t>defendant</w:t>
      </w:r>
      <w:r w:rsidRPr="00ED0D5F">
        <w:rPr>
          <w:rFonts w:ascii="Albertus Extra Bold" w:hAnsi="Albertus Extra Bold"/>
          <w:b/>
        </w:rPr>
        <w:t>]</w:t>
      </w:r>
      <w:r>
        <w:t xml:space="preserve"> </w:t>
      </w:r>
      <w:r>
        <w:rPr>
          <w:u w:val="single"/>
        </w:rPr>
        <w:t>party</w:t>
      </w:r>
      <w:r>
        <w:t xml:space="preserve"> with an affidavit of an appropriate licensed person that there exists a reasonable probability that the care, skill or knowledge exercised or exhibited in the treatment, practice or work that is the subject of the </w:t>
      </w:r>
      <w:r w:rsidRPr="00ED0D5F">
        <w:rPr>
          <w:rFonts w:ascii="Albertus Extra Bold" w:hAnsi="Albertus Extra Bold"/>
          <w:b/>
        </w:rPr>
        <w:t>[</w:t>
      </w:r>
      <w:r>
        <w:t>complaint</w:t>
      </w:r>
      <w:r w:rsidRPr="00ED0D5F">
        <w:rPr>
          <w:rFonts w:ascii="Albertus Extra Bold" w:hAnsi="Albertus Extra Bold"/>
          <w:b/>
        </w:rPr>
        <w:t>]</w:t>
      </w:r>
      <w:r>
        <w:t xml:space="preserve"> </w:t>
      </w:r>
      <w:r>
        <w:rPr>
          <w:u w:val="single"/>
        </w:rPr>
        <w:t>pleading</w:t>
      </w:r>
      <w:r>
        <w:t>, fell outside acceptable professional or occupational standards or treatment practices.  The court may grant no more than one additional period, not to exceed 60 days, to file the affidavit pursuant to this section, upon a finding of good cause.</w:t>
      </w:r>
    </w:p>
    <w:p w:rsidR="00ED0D5F" w:rsidRDefault="00ED0D5F" w:rsidP="00ED0D5F">
      <w:r>
        <w:tab/>
        <w:t xml:space="preserve">In the case of an action for medical malpractice, </w:t>
      </w:r>
      <w:r>
        <w:rPr>
          <w:u w:val="single"/>
        </w:rPr>
        <w:t xml:space="preserve">such affidavit is required without </w:t>
      </w:r>
      <w:r w:rsidRPr="00ED0D5F">
        <w:rPr>
          <w:u w:val="single"/>
        </w:rPr>
        <w:t>exception and</w:t>
      </w:r>
      <w:r>
        <w:t xml:space="preserve"> </w:t>
      </w:r>
      <w:r w:rsidRPr="00ED0D5F">
        <w:t>the</w:t>
      </w:r>
      <w:r>
        <w:t xml:space="preserve"> person executing the affidavit shall meet the requirements of a person who provides expert testimony or executes an affidavit as set forth in section 7 of P.L.2004, c.17 (C.2A:53A-41).  In all other cases, the person executing the affidavit shall be licensed in this or any other state; have particular expertise in the general area or specialty involved in the action, as evidenced by board ce</w:t>
      </w:r>
      <w:r w:rsidR="00EE1AEA">
        <w:t>r</w:t>
      </w:r>
      <w:r>
        <w:t>tification or by devotion of the person's practice substantially to the general area or specialty involved in the action for a period of at least five years.  The person shall have no financial interest in the outcome of the case under review, but this prohibition shall not exclude the person from being an expert witness in the case.</w:t>
      </w:r>
    </w:p>
    <w:p w:rsidR="00ED0D5F" w:rsidRPr="00ED0D5F" w:rsidRDefault="00ED0D5F" w:rsidP="00ED0D5F">
      <w:pPr>
        <w:rPr>
          <w:u w:val="single"/>
        </w:rPr>
      </w:pPr>
      <w:r>
        <w:tab/>
      </w:r>
      <w:r>
        <w:rPr>
          <w:u w:val="single"/>
        </w:rPr>
        <w:t>Failure to comply wi</w:t>
      </w:r>
      <w:r w:rsidR="00EE1AEA">
        <w:rPr>
          <w:u w:val="single"/>
        </w:rPr>
        <w:t>th t</w:t>
      </w:r>
      <w:r w:rsidR="00671B9A">
        <w:rPr>
          <w:u w:val="single"/>
        </w:rPr>
        <w:t>he requirements of this section</w:t>
      </w:r>
      <w:r>
        <w:rPr>
          <w:u w:val="single"/>
        </w:rPr>
        <w:t xml:space="preserve"> will result in an automatic dismissal of the pleading alleging malpractice or negligence without the need for </w:t>
      </w:r>
      <w:r w:rsidR="00C23480">
        <w:rPr>
          <w:u w:val="single"/>
        </w:rPr>
        <w:t xml:space="preserve">filing a motion </w:t>
      </w:r>
      <w:r>
        <w:rPr>
          <w:u w:val="single"/>
        </w:rPr>
        <w:t>on the issue.</w:t>
      </w:r>
    </w:p>
    <w:p w:rsidR="00ED0D5F" w:rsidRDefault="00976E2A" w:rsidP="00ED0D5F">
      <w:r>
        <w:t>(</w:t>
      </w:r>
      <w:proofErr w:type="spellStart"/>
      <w:r>
        <w:t>cf</w:t>
      </w:r>
      <w:proofErr w:type="spellEnd"/>
      <w:r>
        <w:t>:</w:t>
      </w:r>
      <w:r w:rsidR="00CA4E48">
        <w:t xml:space="preserve"> </w:t>
      </w:r>
      <w:r>
        <w:t>P.</w:t>
      </w:r>
      <w:r w:rsidR="00ED0D5F">
        <w:t>L.</w:t>
      </w:r>
      <w:r>
        <w:t>2004, c.17, s.8)</w:t>
      </w:r>
    </w:p>
    <w:p w:rsidR="00ED0D5F" w:rsidRPr="00D71D68" w:rsidRDefault="00ED0D5F" w:rsidP="00686AEB"/>
    <w:p w:rsidR="00686AEB" w:rsidRPr="00AA7880" w:rsidRDefault="00686AEB" w:rsidP="00686AEB">
      <w:r>
        <w:tab/>
      </w:r>
      <w:r w:rsidR="00976E2A">
        <w:t>2</w:t>
      </w:r>
      <w:r w:rsidR="005B4310">
        <w:t>.</w:t>
      </w:r>
      <w:r w:rsidR="005B4310">
        <w:tab/>
      </w:r>
      <w:r w:rsidR="00915A0C">
        <w:t>This act shall take effect</w:t>
      </w:r>
      <w:r w:rsidR="001339A1">
        <w:t xml:space="preserve"> immediately.</w:t>
      </w:r>
    </w:p>
    <w:p w:rsidR="00686AEB" w:rsidRDefault="00686AEB" w:rsidP="00686AEB"/>
    <w:p w:rsidR="001339A1" w:rsidRPr="00CE7BD8" w:rsidRDefault="001339A1" w:rsidP="00686AEB"/>
    <w:p w:rsidR="00686AEB" w:rsidRPr="00AA7880" w:rsidRDefault="00686AEB" w:rsidP="00686AEB">
      <w:pPr>
        <w:jc w:val="center"/>
      </w:pPr>
      <w:r w:rsidRPr="00D71D68">
        <w:t>STATEMENT</w:t>
      </w:r>
    </w:p>
    <w:p w:rsidR="00976E2A" w:rsidRDefault="00976E2A" w:rsidP="00686AEB"/>
    <w:p w:rsidR="00686AEB" w:rsidRDefault="004B2343" w:rsidP="00686AEB">
      <w:r>
        <w:tab/>
      </w:r>
      <w:r w:rsidRPr="004B2343">
        <w:t xml:space="preserve">Presently, in any action for damages for personal injuries, </w:t>
      </w:r>
      <w:r w:rsidR="005B4310">
        <w:br w:type="page"/>
      </w:r>
      <w:r w:rsidRPr="004B2343">
        <w:t>wrongful death or property damage resulting from an alleged act of malpractice or negligence by a licensed person in his profession or occupation, the plaintiff is required to provide the defendant with an affidavit of a qualified person that there exists a reasonable probability that the care, skill or knowledge provided fell below acceptable professional or occupational standards or treatment practices.</w:t>
      </w:r>
      <w:r w:rsidR="00555DAD">
        <w:t xml:space="preserve">  This bill </w:t>
      </w:r>
      <w:r w:rsidR="00EA0F90">
        <w:t>expands the requirement to provide that within 60 days of the filing of any pleading, including</w:t>
      </w:r>
      <w:r w:rsidR="00A75BB4">
        <w:t>,</w:t>
      </w:r>
      <w:r w:rsidR="00EA0F90">
        <w:t xml:space="preserve"> but not limited to a responsive pleading, the plaintiff must provide each </w:t>
      </w:r>
      <w:r w:rsidR="00EA0F90" w:rsidRPr="00EA0F90">
        <w:t xml:space="preserve">party with an affidavit of an appropriate licensed person that there exists a reasonable probability that the care, skill or knowledge exercised or exhibited in the treatment, practice or work that is the subject of the pleading, fell outside acceptable professional or occupational standards or treatment practices.  </w:t>
      </w:r>
      <w:r w:rsidR="00441AEC">
        <w:t>In some instances, this might include third parties brought into a lawsuit by a defendant.</w:t>
      </w:r>
    </w:p>
    <w:p w:rsidR="00CA4E48" w:rsidRDefault="00CA4E48" w:rsidP="00686AEB">
      <w:r>
        <w:tab/>
        <w:t xml:space="preserve">Under the bill, failure </w:t>
      </w:r>
      <w:r w:rsidRPr="00CA4E48">
        <w:t xml:space="preserve">to comply with the requirements of this </w:t>
      </w:r>
      <w:r w:rsidR="00F11413">
        <w:t xml:space="preserve">law </w:t>
      </w:r>
      <w:r w:rsidRPr="00CA4E48">
        <w:t>will result in an automatic dismissal of the pleading alleging malpractice or negligence without the need for filing a motion on the issue</w:t>
      </w:r>
      <w:r>
        <w:t>.</w:t>
      </w:r>
    </w:p>
    <w:sectPr w:rsidR="00CA4E48" w:rsidSect="005B4310">
      <w:headerReference w:type="default" r:id="rId12"/>
      <w:footerReference w:type="default" r:id="rId13"/>
      <w:headerReference w:type="first" r:id="rId14"/>
      <w:footerReference w:type="first" r:id="rId15"/>
      <w:pgSz w:w="12240" w:h="20160" w:code="5"/>
      <w:pgMar w:top="1440" w:right="2520" w:bottom="1872" w:left="2880" w:header="1181" w:footer="8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458" w:rsidRDefault="00AB2458">
      <w:r>
        <w:separator/>
      </w:r>
    </w:p>
  </w:endnote>
  <w:endnote w:type="continuationSeparator" w:id="0">
    <w:p w:rsidR="00AB2458" w:rsidRDefault="00AB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A0C" w:rsidRPr="00921C91" w:rsidRDefault="00915A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5A0C" w:rsidRPr="00921C91" w:rsidRDefault="00915A0C">
    <w:pPr>
      <w:pStyle w:val="Footer"/>
      <w:rPr>
        <w:szCs w:val="18"/>
      </w:rPr>
    </w:pPr>
  </w:p>
  <w:p w:rsidR="00915A0C" w:rsidRPr="00921C91" w:rsidRDefault="00915A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5A0C" w:rsidRDefault="00915A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458" w:rsidRDefault="00AB2458">
      <w:r>
        <w:separator/>
      </w:r>
    </w:p>
  </w:footnote>
  <w:footnote w:type="continuationSeparator" w:id="0">
    <w:p w:rsidR="00AB2458" w:rsidRDefault="00AB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61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2D72" w:rsidRDefault="00272D72" w:rsidP="00272D72">
    <w:pPr>
      <w:pStyle w:val="bpuHeadSpon"/>
    </w:pPr>
    <w:r w:rsidRPr="00272D72">
      <w:rPr>
        <w:rStyle w:val="bpuHeadSponChar"/>
      </w:rPr>
      <w:t>S3172</w:t>
    </w:r>
    <w:r>
      <w:t xml:space="preserve"> GOPAL</w:t>
    </w:r>
  </w:p>
  <w:p w:rsidR="00272D72" w:rsidRDefault="00272D72" w:rsidP="00272D72">
    <w:pPr>
      <w:pStyle w:val="bpuHeadSpon"/>
    </w:pPr>
    <w:r>
      <w:fldChar w:fldCharType="begin"/>
    </w:r>
    <w:r>
      <w:instrText xml:space="preserve"> PAGE  \* MERGEFORMAT </w:instrText>
    </w:r>
    <w:r>
      <w:fldChar w:fldCharType="separate"/>
    </w:r>
    <w:r w:rsidR="0014611E">
      <w:rPr>
        <w:noProof/>
      </w:rPr>
      <w:t>3</w:t>
    </w:r>
    <w:r>
      <w:fldChar w:fldCharType="end"/>
    </w:r>
  </w:p>
  <w:p w:rsidR="00272D72" w:rsidRDefault="00272D72" w:rsidP="00272D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2D72" w:rsidRDefault="00272D72" w:rsidP="00272D72">
    <w:pPr>
      <w:pStyle w:val="bpuHeadSpon"/>
    </w:pPr>
    <w:r w:rsidRPr="00272D72">
      <w:rPr>
        <w:rStyle w:val="bpuHeadSponChar"/>
      </w:rPr>
      <w:t>S3172</w:t>
    </w:r>
    <w:r>
      <w:t xml:space="preserve"> GOPAL</w:t>
    </w:r>
  </w:p>
  <w:p w:rsidR="00272D72" w:rsidRDefault="00272D72" w:rsidP="00272D72">
    <w:pPr>
      <w:pStyle w:val="bpuHeadSpon"/>
    </w:pPr>
    <w:r>
      <w:fldChar w:fldCharType="begin"/>
    </w:r>
    <w:r>
      <w:instrText xml:space="preserve"> PAGE  \* MERGEFORMAT </w:instrText>
    </w:r>
    <w:r>
      <w:fldChar w:fldCharType="separate"/>
    </w:r>
    <w:r w:rsidR="0014611E">
      <w:rPr>
        <w:noProof/>
      </w:rPr>
      <w:t>2</w:t>
    </w:r>
    <w:r>
      <w:fldChar w:fldCharType="end"/>
    </w:r>
  </w:p>
  <w:p w:rsidR="00272D72" w:rsidRDefault="00272D72" w:rsidP="00272D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458"/>
    <w:rsid w:val="000051BD"/>
    <w:rsid w:val="000160A5"/>
    <w:rsid w:val="0002335B"/>
    <w:rsid w:val="0003549A"/>
    <w:rsid w:val="000367AE"/>
    <w:rsid w:val="00043B22"/>
    <w:rsid w:val="00054975"/>
    <w:rsid w:val="00057D20"/>
    <w:rsid w:val="0006197C"/>
    <w:rsid w:val="0006281F"/>
    <w:rsid w:val="000672B2"/>
    <w:rsid w:val="0008141C"/>
    <w:rsid w:val="00094A55"/>
    <w:rsid w:val="000A2EF0"/>
    <w:rsid w:val="000A44A7"/>
    <w:rsid w:val="000B1054"/>
    <w:rsid w:val="000B3411"/>
    <w:rsid w:val="000C054C"/>
    <w:rsid w:val="000C12C2"/>
    <w:rsid w:val="000D11AF"/>
    <w:rsid w:val="000D6255"/>
    <w:rsid w:val="000D6262"/>
    <w:rsid w:val="000D7B4A"/>
    <w:rsid w:val="000E4006"/>
    <w:rsid w:val="000F3DA2"/>
    <w:rsid w:val="000F5FDE"/>
    <w:rsid w:val="000F7466"/>
    <w:rsid w:val="001101DA"/>
    <w:rsid w:val="0013000E"/>
    <w:rsid w:val="001339A1"/>
    <w:rsid w:val="00133F81"/>
    <w:rsid w:val="00135943"/>
    <w:rsid w:val="0014611E"/>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02C"/>
    <w:rsid w:val="0026574A"/>
    <w:rsid w:val="002660BB"/>
    <w:rsid w:val="002720E8"/>
    <w:rsid w:val="00272D72"/>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AEC"/>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EC6"/>
    <w:rsid w:val="004A6940"/>
    <w:rsid w:val="004A77A4"/>
    <w:rsid w:val="004B234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DAD"/>
    <w:rsid w:val="00557240"/>
    <w:rsid w:val="005629A4"/>
    <w:rsid w:val="005651F3"/>
    <w:rsid w:val="00572184"/>
    <w:rsid w:val="00577A15"/>
    <w:rsid w:val="00580533"/>
    <w:rsid w:val="0059131D"/>
    <w:rsid w:val="005B3F92"/>
    <w:rsid w:val="005B4310"/>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BEE"/>
    <w:rsid w:val="00645E6A"/>
    <w:rsid w:val="0065799D"/>
    <w:rsid w:val="00662A47"/>
    <w:rsid w:val="00665CBC"/>
    <w:rsid w:val="00667A5C"/>
    <w:rsid w:val="00671B9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1A9"/>
    <w:rsid w:val="00716BB9"/>
    <w:rsid w:val="007256D1"/>
    <w:rsid w:val="007279FD"/>
    <w:rsid w:val="007502CB"/>
    <w:rsid w:val="00752D24"/>
    <w:rsid w:val="00752D79"/>
    <w:rsid w:val="00752E20"/>
    <w:rsid w:val="00756EDE"/>
    <w:rsid w:val="00764456"/>
    <w:rsid w:val="0077634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EC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A0C"/>
    <w:rsid w:val="00916F7A"/>
    <w:rsid w:val="00917FE3"/>
    <w:rsid w:val="009318C7"/>
    <w:rsid w:val="00931C09"/>
    <w:rsid w:val="009348C2"/>
    <w:rsid w:val="009440D0"/>
    <w:rsid w:val="009523A3"/>
    <w:rsid w:val="009536E9"/>
    <w:rsid w:val="00960958"/>
    <w:rsid w:val="00963A46"/>
    <w:rsid w:val="00966A3E"/>
    <w:rsid w:val="00971493"/>
    <w:rsid w:val="00971AD9"/>
    <w:rsid w:val="00973069"/>
    <w:rsid w:val="00973523"/>
    <w:rsid w:val="0097438D"/>
    <w:rsid w:val="00976E2A"/>
    <w:rsid w:val="00980766"/>
    <w:rsid w:val="009835D4"/>
    <w:rsid w:val="0098448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E9F"/>
    <w:rsid w:val="00A50F6B"/>
    <w:rsid w:val="00A52237"/>
    <w:rsid w:val="00A551D6"/>
    <w:rsid w:val="00A6251B"/>
    <w:rsid w:val="00A6754E"/>
    <w:rsid w:val="00A70F58"/>
    <w:rsid w:val="00A72987"/>
    <w:rsid w:val="00A7346B"/>
    <w:rsid w:val="00A75BB4"/>
    <w:rsid w:val="00A84C4F"/>
    <w:rsid w:val="00A932A1"/>
    <w:rsid w:val="00A96E06"/>
    <w:rsid w:val="00AA6197"/>
    <w:rsid w:val="00AA6C70"/>
    <w:rsid w:val="00AB16FD"/>
    <w:rsid w:val="00AB2458"/>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889"/>
    <w:rsid w:val="00BE24D6"/>
    <w:rsid w:val="00BE7EFA"/>
    <w:rsid w:val="00BF06AD"/>
    <w:rsid w:val="00BF2C67"/>
    <w:rsid w:val="00C04F4D"/>
    <w:rsid w:val="00C12E48"/>
    <w:rsid w:val="00C13D14"/>
    <w:rsid w:val="00C15F53"/>
    <w:rsid w:val="00C2348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E4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AAD"/>
    <w:rsid w:val="00E7144F"/>
    <w:rsid w:val="00E73D74"/>
    <w:rsid w:val="00E76A79"/>
    <w:rsid w:val="00E77596"/>
    <w:rsid w:val="00E80692"/>
    <w:rsid w:val="00E80C24"/>
    <w:rsid w:val="00E93836"/>
    <w:rsid w:val="00EA0F90"/>
    <w:rsid w:val="00EA7C16"/>
    <w:rsid w:val="00EC5281"/>
    <w:rsid w:val="00EC791D"/>
    <w:rsid w:val="00EC7CA6"/>
    <w:rsid w:val="00ED0D5F"/>
    <w:rsid w:val="00ED3C5D"/>
    <w:rsid w:val="00ED4553"/>
    <w:rsid w:val="00EE1AEA"/>
    <w:rsid w:val="00EF13DB"/>
    <w:rsid w:val="00F00D08"/>
    <w:rsid w:val="00F11413"/>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52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390A86-A33C-4A44-B746-3DB972AF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775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7596"/>
    <w:rPr>
      <w:rFonts w:ascii="Segoe UI" w:hAnsi="Segoe UI" w:cs="Segoe UI"/>
      <w:spacing w:val="4"/>
      <w:sz w:val="18"/>
      <w:szCs w:val="18"/>
    </w:rPr>
  </w:style>
  <w:style w:type="character" w:styleId="LineNumber">
    <w:name w:val="line number"/>
    <w:basedOn w:val="DefaultParagraphFont"/>
    <w:semiHidden/>
    <w:unhideWhenUsed/>
    <w:rsid w:val="00272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601</Words>
  <Characters>3158</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S3172</vt:lpstr>
    </vt:vector>
  </TitlesOfParts>
  <Manager>R225</Manager>
  <Company>NJ Office of Legislative Services</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S3172</dc:title>
  <dc:subject/>
  <dc:creator>Senator  GOPAL</dc:creator>
  <cp:keywords>S3172|3|JU |127|54|309|N|0|</cp:keywords>
  <dc:description>INTRODUCED NOVEMBER 12, 2020</dc:description>
  <cp:lastModifiedBy>Siracusa, Nicole</cp:lastModifiedBy>
  <cp:revision>2</cp:revision>
  <cp:lastPrinted>2020-11-09T14:46:00Z</cp:lastPrinted>
  <dcterms:created xsi:type="dcterms:W3CDTF">2020-11-13T14:16:00Z</dcterms:created>
  <dcterms:modified xsi:type="dcterms:W3CDTF">2020-11-13T14:16:00Z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