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62494" w:rsidP="00407C9E">
      <w:pPr>
        <w:pStyle w:val="NoteOrEstimate"/>
      </w:pPr>
      <w:r>
        <w:t>LEGISLATIVE FISCAL ESTIMATE</w:t>
      </w:r>
    </w:p>
    <w:p w:rsidR="00C62494" w:rsidRPr="00C62494" w:rsidRDefault="00C62494" w:rsidP="00C62494">
      <w:pPr>
        <w:pStyle w:val="Reprint"/>
      </w:pPr>
      <w:r>
        <w:t>[First Reprint]</w:t>
      </w:r>
    </w:p>
    <w:p w:rsidR="003C5892" w:rsidRDefault="00C6249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3218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82673" w:rsidP="00D82673">
      <w:pPr>
        <w:pStyle w:val="BillNo"/>
      </w:pPr>
      <w:r>
        <w:t>219th LEGISLATURE</w:t>
      </w:r>
    </w:p>
    <w:p w:rsidR="00353325" w:rsidRDefault="00353325" w:rsidP="00353325"/>
    <w:p w:rsidR="00D82673" w:rsidRDefault="00D82673" w:rsidP="00D82673">
      <w:pPr>
        <w:jc w:val="center"/>
      </w:pPr>
      <w:r>
        <w:t>DATED: DECEMBER 23, 2020</w:t>
      </w:r>
    </w:p>
    <w:p w:rsidR="00D82673" w:rsidRDefault="00D82673" w:rsidP="00353325"/>
    <w:p w:rsidR="00D82673" w:rsidRDefault="00D8267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840364" w:rsidRDefault="00840364" w:rsidP="00840364">
      <w:pPr>
        <w:tabs>
          <w:tab w:val="left" w:pos="360"/>
          <w:tab w:val="left" w:pos="720"/>
          <w:tab w:val="left" w:pos="1440"/>
          <w:tab w:val="left" w:pos="2160"/>
          <w:tab w:val="left" w:pos="2880"/>
          <w:tab w:val="left" w:pos="3600"/>
          <w:tab w:val="left" w:pos="4320"/>
          <w:tab w:val="left" w:pos="5040"/>
        </w:tabs>
      </w:pPr>
    </w:p>
    <w:p w:rsidR="00840364" w:rsidRDefault="00840364" w:rsidP="00840364">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40364" w:rsidTr="006316CF">
        <w:trPr>
          <w:trHeight w:val="576"/>
        </w:trPr>
        <w:tc>
          <w:tcPr>
            <w:tcW w:w="2333" w:type="dxa"/>
          </w:tcPr>
          <w:p w:rsidR="00840364" w:rsidRPr="003C5892" w:rsidRDefault="00840364" w:rsidP="006316CF">
            <w:pPr>
              <w:tabs>
                <w:tab w:val="left" w:pos="360"/>
                <w:tab w:val="left" w:pos="720"/>
                <w:tab w:val="left" w:pos="1440"/>
                <w:tab w:val="left" w:pos="2160"/>
                <w:tab w:val="left" w:pos="2880"/>
                <w:tab w:val="left" w:pos="3600"/>
                <w:tab w:val="left" w:pos="4320"/>
                <w:tab w:val="left" w:pos="5040"/>
              </w:tabs>
              <w:rPr>
                <w:b/>
              </w:rPr>
            </w:pPr>
            <w:bookmarkStart w:id="1" w:name="DelTable"/>
            <w:bookmarkEnd w:id="1"/>
            <w:r w:rsidRPr="003C5892">
              <w:rPr>
                <w:b/>
              </w:rPr>
              <w:t>Synopsis</w:t>
            </w:r>
            <w:r>
              <w:rPr>
                <w:b/>
              </w:rPr>
              <w:t>:</w:t>
            </w:r>
          </w:p>
        </w:tc>
        <w:tc>
          <w:tcPr>
            <w:tcW w:w="7013" w:type="dxa"/>
          </w:tcPr>
          <w:p w:rsidR="00840364" w:rsidRDefault="00840364" w:rsidP="006316CF">
            <w:r>
              <w:t>Provides for reorganization of health service corporation.</w:t>
            </w:r>
          </w:p>
        </w:tc>
      </w:tr>
      <w:tr w:rsidR="00840364" w:rsidTr="006316CF">
        <w:trPr>
          <w:trHeight w:val="576"/>
        </w:trPr>
        <w:tc>
          <w:tcPr>
            <w:tcW w:w="2333" w:type="dxa"/>
          </w:tcPr>
          <w:p w:rsidR="00840364" w:rsidRPr="003C5892" w:rsidRDefault="00840364" w:rsidP="006316CF">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BB0184">
              <w:rPr>
                <w:b/>
                <w:bCs/>
              </w:rPr>
              <w:t>s</w:t>
            </w:r>
            <w:r w:rsidRPr="003C5892">
              <w:rPr>
                <w:b/>
                <w:bCs/>
              </w:rPr>
              <w:t xml:space="preserve"> of Impact:</w:t>
            </w:r>
          </w:p>
        </w:tc>
        <w:tc>
          <w:tcPr>
            <w:tcW w:w="7013" w:type="dxa"/>
          </w:tcPr>
          <w:p w:rsidR="00BB0184" w:rsidRDefault="0044517B" w:rsidP="006316CF">
            <w:r>
              <w:t xml:space="preserve">Recurring State revenue decrease.  </w:t>
            </w:r>
          </w:p>
          <w:p w:rsidR="00840364" w:rsidRDefault="0044517B" w:rsidP="006316CF">
            <w:r>
              <w:t xml:space="preserve">One-time State expenditure </w:t>
            </w:r>
            <w:r w:rsidR="006E3F5D">
              <w:t>in</w:t>
            </w:r>
            <w:r>
              <w:t>crease.</w:t>
            </w:r>
          </w:p>
        </w:tc>
      </w:tr>
      <w:tr w:rsidR="00840364" w:rsidTr="006316CF">
        <w:trPr>
          <w:trHeight w:val="576"/>
        </w:trPr>
        <w:tc>
          <w:tcPr>
            <w:tcW w:w="2333" w:type="dxa"/>
          </w:tcPr>
          <w:p w:rsidR="00840364" w:rsidRPr="003C5892" w:rsidRDefault="00840364" w:rsidP="006316C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B0184" w:rsidRDefault="00840364" w:rsidP="006316CF">
            <w:r>
              <w:t>Department of the Treasury.</w:t>
            </w:r>
            <w:r w:rsidR="00D251FC">
              <w:t xml:space="preserve">  </w:t>
            </w:r>
          </w:p>
          <w:p w:rsidR="00840364" w:rsidRDefault="00D251FC" w:rsidP="006316CF">
            <w:r>
              <w:t>Department of Banking and Insurance.</w:t>
            </w:r>
          </w:p>
        </w:tc>
      </w:tr>
    </w:tbl>
    <w:p w:rsidR="00840364" w:rsidRDefault="00840364" w:rsidP="00840364">
      <w:pPr>
        <w:tabs>
          <w:tab w:val="left" w:pos="360"/>
          <w:tab w:val="left" w:pos="720"/>
          <w:tab w:val="left" w:pos="1440"/>
          <w:tab w:val="left" w:pos="2160"/>
          <w:tab w:val="left" w:pos="2880"/>
          <w:tab w:val="left" w:pos="3600"/>
          <w:tab w:val="left" w:pos="4320"/>
          <w:tab w:val="left" w:pos="5040"/>
        </w:tabs>
      </w:pPr>
    </w:p>
    <w:p w:rsidR="009847DC" w:rsidRDefault="009847DC" w:rsidP="00840364">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2070"/>
        <w:gridCol w:w="1980"/>
        <w:gridCol w:w="2260"/>
        <w:gridCol w:w="15"/>
      </w:tblGrid>
      <w:tr w:rsidR="002B5A28" w:rsidTr="002B5A28">
        <w:trPr>
          <w:trHeight w:val="410"/>
        </w:trPr>
        <w:tc>
          <w:tcPr>
            <w:tcW w:w="9375" w:type="dxa"/>
            <w:gridSpan w:val="5"/>
            <w:tcBorders>
              <w:top w:val="nil"/>
              <w:left w:val="nil"/>
              <w:bottom w:val="nil"/>
              <w:right w:val="nil"/>
            </w:tcBorders>
            <w:vAlign w:val="bottom"/>
          </w:tcPr>
          <w:p w:rsidR="002B5A28" w:rsidRPr="00F11982" w:rsidRDefault="002B5A28" w:rsidP="006316C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847DC" w:rsidTr="00E4028D">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9847DC" w:rsidRPr="007618F1" w:rsidRDefault="009847DC" w:rsidP="006316CF">
            <w:pPr>
              <w:tabs>
                <w:tab w:val="left" w:pos="360"/>
                <w:tab w:val="left" w:pos="720"/>
                <w:tab w:val="left" w:pos="1440"/>
                <w:tab w:val="left" w:pos="2160"/>
                <w:tab w:val="left" w:pos="2880"/>
                <w:tab w:val="left" w:pos="3600"/>
                <w:tab w:val="left" w:pos="4320"/>
                <w:tab w:val="left" w:pos="5040"/>
              </w:tabs>
              <w:rPr>
                <w:b/>
              </w:rPr>
            </w:pPr>
            <w:r w:rsidRPr="007618F1">
              <w:rPr>
                <w:b/>
              </w:rPr>
              <w:t>Fiscal Impact</w:t>
            </w:r>
          </w:p>
        </w:tc>
        <w:tc>
          <w:tcPr>
            <w:tcW w:w="2070" w:type="dxa"/>
            <w:tcBorders>
              <w:top w:val="single" w:sz="6" w:space="0" w:color="auto"/>
              <w:left w:val="nil"/>
              <w:bottom w:val="single" w:sz="12" w:space="0" w:color="auto"/>
            </w:tcBorders>
            <w:shd w:val="pct20" w:color="auto" w:fill="auto"/>
            <w:vAlign w:val="bottom"/>
          </w:tcPr>
          <w:p w:rsidR="009847DC" w:rsidRPr="007618F1" w:rsidRDefault="009847DC" w:rsidP="006316CF">
            <w:pPr>
              <w:tabs>
                <w:tab w:val="left" w:pos="360"/>
                <w:tab w:val="left" w:pos="720"/>
                <w:tab w:val="left" w:pos="1440"/>
                <w:tab w:val="left" w:pos="2160"/>
                <w:tab w:val="left" w:pos="2880"/>
                <w:tab w:val="left" w:pos="3600"/>
                <w:tab w:val="left" w:pos="4320"/>
                <w:tab w:val="left" w:pos="5040"/>
              </w:tabs>
              <w:jc w:val="center"/>
              <w:rPr>
                <w:b/>
              </w:rPr>
            </w:pPr>
            <w:r w:rsidRPr="007618F1">
              <w:rPr>
                <w:b/>
                <w:bCs/>
                <w:u w:val="single"/>
              </w:rPr>
              <w:t>FY 2021</w:t>
            </w:r>
            <w:r w:rsidRPr="007618F1">
              <w:rPr>
                <w:b/>
                <w:bCs/>
              </w:rPr>
              <w:t> </w:t>
            </w:r>
          </w:p>
        </w:tc>
        <w:tc>
          <w:tcPr>
            <w:tcW w:w="1980" w:type="dxa"/>
            <w:tcBorders>
              <w:top w:val="single" w:sz="6" w:space="0" w:color="auto"/>
              <w:left w:val="nil"/>
              <w:bottom w:val="single" w:sz="12" w:space="0" w:color="auto"/>
            </w:tcBorders>
            <w:shd w:val="pct20" w:color="auto" w:fill="auto"/>
            <w:vAlign w:val="bottom"/>
          </w:tcPr>
          <w:p w:rsidR="009847DC" w:rsidRPr="007618F1" w:rsidRDefault="009847DC" w:rsidP="006316CF">
            <w:pPr>
              <w:tabs>
                <w:tab w:val="left" w:pos="360"/>
                <w:tab w:val="left" w:pos="720"/>
                <w:tab w:val="left" w:pos="1440"/>
                <w:tab w:val="left" w:pos="2160"/>
                <w:tab w:val="left" w:pos="2880"/>
                <w:tab w:val="left" w:pos="3600"/>
                <w:tab w:val="left" w:pos="4320"/>
                <w:tab w:val="left" w:pos="5040"/>
              </w:tabs>
              <w:jc w:val="center"/>
              <w:rPr>
                <w:b/>
              </w:rPr>
            </w:pPr>
            <w:r w:rsidRPr="007618F1">
              <w:rPr>
                <w:b/>
                <w:bCs/>
                <w:u w:val="single"/>
              </w:rPr>
              <w:t>FY 2022</w:t>
            </w:r>
            <w:r w:rsidRPr="007618F1">
              <w:rPr>
                <w:b/>
                <w:bCs/>
              </w:rPr>
              <w:t> </w:t>
            </w:r>
          </w:p>
        </w:tc>
        <w:tc>
          <w:tcPr>
            <w:tcW w:w="2260" w:type="dxa"/>
            <w:tcBorders>
              <w:top w:val="single" w:sz="6" w:space="0" w:color="auto"/>
              <w:bottom w:val="single" w:sz="12" w:space="0" w:color="auto"/>
              <w:right w:val="single" w:sz="6" w:space="0" w:color="auto"/>
            </w:tcBorders>
            <w:shd w:val="pct20" w:color="auto" w:fill="auto"/>
            <w:vAlign w:val="bottom"/>
          </w:tcPr>
          <w:p w:rsidR="009847DC" w:rsidRPr="007C2DB7" w:rsidRDefault="009847DC" w:rsidP="006316CF">
            <w:pPr>
              <w:tabs>
                <w:tab w:val="left" w:pos="360"/>
                <w:tab w:val="left" w:pos="720"/>
                <w:tab w:val="left" w:pos="1440"/>
                <w:tab w:val="left" w:pos="2160"/>
                <w:tab w:val="left" w:pos="2880"/>
                <w:tab w:val="left" w:pos="3600"/>
                <w:tab w:val="left" w:pos="4320"/>
                <w:tab w:val="left" w:pos="5040"/>
              </w:tabs>
              <w:jc w:val="center"/>
              <w:rPr>
                <w:b/>
              </w:rPr>
            </w:pPr>
            <w:r w:rsidRPr="007C2DB7">
              <w:rPr>
                <w:b/>
                <w:bCs/>
                <w:u w:val="single"/>
              </w:rPr>
              <w:t>FY 2023 to FY 20</w:t>
            </w:r>
            <w:r w:rsidR="00C43857" w:rsidRPr="007C2DB7">
              <w:rPr>
                <w:b/>
                <w:bCs/>
                <w:u w:val="single"/>
              </w:rPr>
              <w:t>39</w:t>
            </w:r>
          </w:p>
        </w:tc>
      </w:tr>
      <w:tr w:rsidR="002D4FA3" w:rsidTr="00E4028D">
        <w:trPr>
          <w:gridAfter w:val="1"/>
          <w:wAfter w:w="15" w:type="dxa"/>
          <w:trHeight w:val="410"/>
        </w:trPr>
        <w:tc>
          <w:tcPr>
            <w:tcW w:w="3050" w:type="dxa"/>
            <w:tcBorders>
              <w:top w:val="nil"/>
              <w:left w:val="single" w:sz="6" w:space="0" w:color="auto"/>
              <w:bottom w:val="nil"/>
              <w:right w:val="nil"/>
            </w:tcBorders>
            <w:tcMar>
              <w:bottom w:w="29" w:type="dxa"/>
            </w:tcMar>
            <w:vAlign w:val="center"/>
          </w:tcPr>
          <w:p w:rsidR="002D4FA3" w:rsidRPr="007618F1" w:rsidRDefault="002D4FA3" w:rsidP="002D4FA3">
            <w:pPr>
              <w:tabs>
                <w:tab w:val="left" w:pos="360"/>
                <w:tab w:val="left" w:pos="720"/>
                <w:tab w:val="left" w:pos="1440"/>
                <w:tab w:val="left" w:pos="2160"/>
                <w:tab w:val="left" w:pos="2880"/>
                <w:tab w:val="left" w:pos="3600"/>
                <w:tab w:val="left" w:pos="4320"/>
                <w:tab w:val="left" w:pos="5040"/>
              </w:tabs>
              <w:jc w:val="left"/>
              <w:rPr>
                <w:b/>
              </w:rPr>
            </w:pPr>
            <w:r w:rsidRPr="007618F1">
              <w:rPr>
                <w:b/>
                <w:bCs/>
              </w:rPr>
              <w:t>State Revenue Impact</w:t>
            </w:r>
          </w:p>
        </w:tc>
        <w:tc>
          <w:tcPr>
            <w:tcW w:w="2070" w:type="dxa"/>
            <w:tcBorders>
              <w:top w:val="nil"/>
              <w:left w:val="nil"/>
              <w:bottom w:val="nil"/>
              <w:right w:val="nil"/>
            </w:tcBorders>
            <w:tcMar>
              <w:bottom w:w="29" w:type="dxa"/>
            </w:tcMar>
            <w:vAlign w:val="bottom"/>
          </w:tcPr>
          <w:p w:rsidR="002D4FA3" w:rsidRPr="007618F1" w:rsidRDefault="00C43857" w:rsidP="002D4FA3">
            <w:pPr>
              <w:tabs>
                <w:tab w:val="left" w:pos="360"/>
                <w:tab w:val="left" w:pos="720"/>
                <w:tab w:val="left" w:pos="1440"/>
                <w:tab w:val="left" w:pos="2160"/>
                <w:tab w:val="left" w:pos="2880"/>
                <w:tab w:val="left" w:pos="3600"/>
                <w:tab w:val="left" w:pos="4320"/>
                <w:tab w:val="left" w:pos="5040"/>
              </w:tabs>
              <w:jc w:val="center"/>
            </w:pPr>
            <w:r>
              <w:t>(</w:t>
            </w:r>
            <w:r w:rsidR="002D4FA3" w:rsidRPr="007618F1">
              <w:t xml:space="preserve">$54,900,000) </w:t>
            </w:r>
            <w:r>
              <w:t>–</w:t>
            </w:r>
            <w:r w:rsidR="002D4FA3" w:rsidRPr="007618F1">
              <w:t xml:space="preserve"> </w:t>
            </w:r>
            <w:r>
              <w:t>(</w:t>
            </w:r>
            <w:r w:rsidR="002D4FA3" w:rsidRPr="007618F1">
              <w:t>$62,</w:t>
            </w:r>
            <w:r w:rsidR="00662450">
              <w:t>5</w:t>
            </w:r>
            <w:r w:rsidR="002D4FA3" w:rsidRPr="007618F1">
              <w:t>00,000)</w:t>
            </w:r>
          </w:p>
        </w:tc>
        <w:tc>
          <w:tcPr>
            <w:tcW w:w="1980" w:type="dxa"/>
            <w:tcBorders>
              <w:top w:val="nil"/>
              <w:left w:val="nil"/>
              <w:bottom w:val="nil"/>
              <w:right w:val="nil"/>
            </w:tcBorders>
            <w:vAlign w:val="bottom"/>
          </w:tcPr>
          <w:p w:rsidR="002D4FA3" w:rsidRPr="007618F1" w:rsidRDefault="002D4FA3" w:rsidP="002D4FA3">
            <w:pPr>
              <w:tabs>
                <w:tab w:val="left" w:pos="360"/>
                <w:tab w:val="left" w:pos="720"/>
                <w:tab w:val="left" w:pos="1440"/>
                <w:tab w:val="left" w:pos="2160"/>
                <w:tab w:val="left" w:pos="2880"/>
                <w:tab w:val="left" w:pos="3600"/>
                <w:tab w:val="left" w:pos="4320"/>
                <w:tab w:val="left" w:pos="5040"/>
              </w:tabs>
              <w:jc w:val="center"/>
            </w:pPr>
            <w:r w:rsidRPr="007618F1">
              <w:t>$506,200,000 - $565,600,000</w:t>
            </w:r>
          </w:p>
        </w:tc>
        <w:tc>
          <w:tcPr>
            <w:tcW w:w="2260" w:type="dxa"/>
            <w:tcBorders>
              <w:top w:val="nil"/>
              <w:left w:val="nil"/>
              <w:bottom w:val="nil"/>
              <w:right w:val="single" w:sz="6" w:space="0" w:color="auto"/>
            </w:tcBorders>
            <w:tcMar>
              <w:bottom w:w="29" w:type="dxa"/>
            </w:tcMar>
            <w:vAlign w:val="bottom"/>
          </w:tcPr>
          <w:p w:rsidR="002D4FA3" w:rsidRPr="007C2DB7" w:rsidRDefault="002D4FA3" w:rsidP="002D4FA3">
            <w:pPr>
              <w:tabs>
                <w:tab w:val="left" w:pos="360"/>
                <w:tab w:val="left" w:pos="720"/>
                <w:tab w:val="left" w:pos="1440"/>
                <w:tab w:val="left" w:pos="2160"/>
                <w:tab w:val="left" w:pos="2880"/>
                <w:tab w:val="left" w:pos="3600"/>
                <w:tab w:val="left" w:pos="4320"/>
                <w:tab w:val="left" w:pos="5040"/>
              </w:tabs>
              <w:jc w:val="center"/>
            </w:pPr>
            <w:r w:rsidRPr="007C2DB7">
              <w:t>(</w:t>
            </w:r>
            <w:r w:rsidR="00C43857" w:rsidRPr="007C2DB7">
              <w:t>$712</w:t>
            </w:r>
            <w:r w:rsidRPr="007C2DB7">
              <w:t>,</w:t>
            </w:r>
            <w:r w:rsidR="00C43857" w:rsidRPr="007C2DB7">
              <w:t>7</w:t>
            </w:r>
            <w:r w:rsidRPr="007C2DB7">
              <w:t>00,000) - (</w:t>
            </w:r>
            <w:r w:rsidR="00C43857" w:rsidRPr="007C2DB7">
              <w:t>$927</w:t>
            </w:r>
            <w:r w:rsidRPr="007C2DB7">
              <w:t>,</w:t>
            </w:r>
            <w:r w:rsidR="00C43857" w:rsidRPr="007C2DB7">
              <w:t>9</w:t>
            </w:r>
            <w:r w:rsidRPr="007C2DB7">
              <w:t>00,000)</w:t>
            </w:r>
          </w:p>
        </w:tc>
      </w:tr>
      <w:tr w:rsidR="006316CF" w:rsidTr="00E4028D">
        <w:trPr>
          <w:gridAfter w:val="1"/>
          <w:wAfter w:w="15" w:type="dxa"/>
          <w:trHeight w:val="410"/>
        </w:trPr>
        <w:tc>
          <w:tcPr>
            <w:tcW w:w="3050" w:type="dxa"/>
            <w:tcBorders>
              <w:top w:val="nil"/>
              <w:left w:val="single" w:sz="6" w:space="0" w:color="auto"/>
              <w:bottom w:val="nil"/>
              <w:right w:val="nil"/>
            </w:tcBorders>
            <w:tcMar>
              <w:bottom w:w="29" w:type="dxa"/>
            </w:tcMar>
            <w:vAlign w:val="center"/>
          </w:tcPr>
          <w:p w:rsidR="006316CF" w:rsidRPr="007618F1" w:rsidRDefault="006316CF" w:rsidP="002D4FA3">
            <w:pPr>
              <w:tabs>
                <w:tab w:val="left" w:pos="360"/>
                <w:tab w:val="left" w:pos="720"/>
                <w:tab w:val="left" w:pos="1440"/>
                <w:tab w:val="left" w:pos="2160"/>
                <w:tab w:val="left" w:pos="2880"/>
                <w:tab w:val="left" w:pos="3600"/>
                <w:tab w:val="left" w:pos="4320"/>
                <w:tab w:val="left" w:pos="5040"/>
              </w:tabs>
              <w:jc w:val="left"/>
              <w:rPr>
                <w:b/>
                <w:bCs/>
              </w:rPr>
            </w:pPr>
            <w:r w:rsidRPr="007618F1">
              <w:rPr>
                <w:b/>
                <w:bCs/>
              </w:rPr>
              <w:t>State Expenditure Increase</w:t>
            </w:r>
          </w:p>
        </w:tc>
        <w:tc>
          <w:tcPr>
            <w:tcW w:w="2070" w:type="dxa"/>
            <w:tcBorders>
              <w:top w:val="nil"/>
              <w:left w:val="nil"/>
              <w:bottom w:val="nil"/>
              <w:right w:val="nil"/>
            </w:tcBorders>
            <w:tcMar>
              <w:bottom w:w="29" w:type="dxa"/>
            </w:tcMar>
            <w:vAlign w:val="bottom"/>
          </w:tcPr>
          <w:p w:rsidR="006316CF" w:rsidRPr="007618F1" w:rsidRDefault="006316CF" w:rsidP="002D4FA3">
            <w:pPr>
              <w:tabs>
                <w:tab w:val="left" w:pos="360"/>
                <w:tab w:val="left" w:pos="720"/>
                <w:tab w:val="left" w:pos="1440"/>
                <w:tab w:val="left" w:pos="2160"/>
                <w:tab w:val="left" w:pos="2880"/>
                <w:tab w:val="left" w:pos="3600"/>
                <w:tab w:val="left" w:pos="4320"/>
                <w:tab w:val="left" w:pos="5040"/>
              </w:tabs>
              <w:jc w:val="center"/>
            </w:pPr>
            <w:r w:rsidRPr="007618F1">
              <w:t>Indeterminate</w:t>
            </w:r>
          </w:p>
        </w:tc>
        <w:tc>
          <w:tcPr>
            <w:tcW w:w="1980" w:type="dxa"/>
            <w:tcBorders>
              <w:top w:val="nil"/>
              <w:left w:val="nil"/>
              <w:bottom w:val="nil"/>
              <w:right w:val="nil"/>
            </w:tcBorders>
            <w:vAlign w:val="bottom"/>
          </w:tcPr>
          <w:p w:rsidR="006316CF" w:rsidRPr="007618F1" w:rsidRDefault="006316CF" w:rsidP="002D4FA3">
            <w:pPr>
              <w:tabs>
                <w:tab w:val="left" w:pos="360"/>
                <w:tab w:val="left" w:pos="720"/>
                <w:tab w:val="left" w:pos="1440"/>
                <w:tab w:val="left" w:pos="2160"/>
                <w:tab w:val="left" w:pos="2880"/>
                <w:tab w:val="left" w:pos="3600"/>
                <w:tab w:val="left" w:pos="4320"/>
                <w:tab w:val="left" w:pos="5040"/>
              </w:tabs>
              <w:jc w:val="center"/>
            </w:pPr>
            <w:r w:rsidRPr="007618F1">
              <w:t>$0</w:t>
            </w:r>
          </w:p>
        </w:tc>
        <w:tc>
          <w:tcPr>
            <w:tcW w:w="2260" w:type="dxa"/>
            <w:tcBorders>
              <w:top w:val="nil"/>
              <w:left w:val="nil"/>
              <w:bottom w:val="nil"/>
              <w:right w:val="single" w:sz="6" w:space="0" w:color="auto"/>
            </w:tcBorders>
            <w:tcMar>
              <w:bottom w:w="29" w:type="dxa"/>
            </w:tcMar>
            <w:vAlign w:val="bottom"/>
          </w:tcPr>
          <w:p w:rsidR="006316CF" w:rsidRPr="007C2DB7" w:rsidRDefault="006316CF" w:rsidP="002D4FA3">
            <w:pPr>
              <w:tabs>
                <w:tab w:val="left" w:pos="360"/>
                <w:tab w:val="left" w:pos="720"/>
                <w:tab w:val="left" w:pos="1440"/>
                <w:tab w:val="left" w:pos="2160"/>
                <w:tab w:val="left" w:pos="2880"/>
                <w:tab w:val="left" w:pos="3600"/>
                <w:tab w:val="left" w:pos="4320"/>
                <w:tab w:val="left" w:pos="5040"/>
              </w:tabs>
              <w:jc w:val="center"/>
            </w:pPr>
            <w:r w:rsidRPr="007C2DB7">
              <w:t>$0</w:t>
            </w:r>
          </w:p>
        </w:tc>
      </w:tr>
      <w:tr w:rsidR="002D4FA3" w:rsidTr="002B5A2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D4FA3" w:rsidRDefault="002D4FA3" w:rsidP="002D4FA3">
            <w:pPr>
              <w:tabs>
                <w:tab w:val="left" w:pos="360"/>
                <w:tab w:val="left" w:pos="720"/>
                <w:tab w:val="left" w:pos="1440"/>
                <w:tab w:val="left" w:pos="2160"/>
                <w:tab w:val="left" w:pos="2880"/>
                <w:tab w:val="left" w:pos="3600"/>
                <w:tab w:val="left" w:pos="4320"/>
                <w:tab w:val="left" w:pos="5040"/>
              </w:tabs>
            </w:pPr>
          </w:p>
        </w:tc>
      </w:tr>
    </w:tbl>
    <w:p w:rsidR="002B5A28" w:rsidRDefault="002B5A28" w:rsidP="00840364">
      <w:pPr>
        <w:tabs>
          <w:tab w:val="left" w:pos="360"/>
          <w:tab w:val="left" w:pos="720"/>
          <w:tab w:val="left" w:pos="1440"/>
          <w:tab w:val="left" w:pos="2160"/>
          <w:tab w:val="left" w:pos="2880"/>
          <w:tab w:val="left" w:pos="3600"/>
          <w:tab w:val="left" w:pos="4320"/>
          <w:tab w:val="left" w:pos="5040"/>
        </w:tabs>
      </w:pPr>
    </w:p>
    <w:p w:rsidR="00840364" w:rsidRDefault="00840364" w:rsidP="002E471B">
      <w:pPr>
        <w:pStyle w:val="ListParagraph"/>
        <w:numPr>
          <w:ilvl w:val="0"/>
          <w:numId w:val="6"/>
        </w:numPr>
        <w:tabs>
          <w:tab w:val="left" w:pos="360"/>
          <w:tab w:val="left" w:pos="720"/>
          <w:tab w:val="left" w:pos="1440"/>
          <w:tab w:val="left" w:pos="2160"/>
          <w:tab w:val="left" w:pos="2880"/>
          <w:tab w:val="left" w:pos="3600"/>
          <w:tab w:val="left" w:pos="4320"/>
          <w:tab w:val="left" w:pos="5040"/>
        </w:tabs>
      </w:pPr>
      <w:r>
        <w:t xml:space="preserve">The Office of Legislative Services (OLS) </w:t>
      </w:r>
      <w:r w:rsidR="002E471B">
        <w:t xml:space="preserve">projects that the bill will lower annual State revenue collections by </w:t>
      </w:r>
      <w:r w:rsidR="00A05345">
        <w:t>varying</w:t>
      </w:r>
      <w:r w:rsidR="002E471B">
        <w:t xml:space="preserve"> amounts in each fiscal year with the exception of </w:t>
      </w:r>
      <w:r w:rsidR="005025F7">
        <w:t xml:space="preserve">net </w:t>
      </w:r>
      <w:r w:rsidR="002E471B">
        <w:t xml:space="preserve">revenue gains in FY 2022 and FY 2023.  </w:t>
      </w:r>
    </w:p>
    <w:p w:rsidR="00840364" w:rsidRDefault="00840364" w:rsidP="00840364">
      <w:pPr>
        <w:pStyle w:val="ListParagraph"/>
        <w:tabs>
          <w:tab w:val="left" w:pos="720"/>
          <w:tab w:val="left" w:pos="1440"/>
          <w:tab w:val="left" w:pos="2160"/>
          <w:tab w:val="left" w:pos="2880"/>
          <w:tab w:val="left" w:pos="3600"/>
          <w:tab w:val="left" w:pos="4320"/>
          <w:tab w:val="left" w:pos="5040"/>
        </w:tabs>
        <w:ind w:left="360"/>
      </w:pPr>
    </w:p>
    <w:p w:rsidR="009D57E0" w:rsidRDefault="009D57E0" w:rsidP="00840364">
      <w:pPr>
        <w:pStyle w:val="ListParagraph"/>
        <w:numPr>
          <w:ilvl w:val="0"/>
          <w:numId w:val="6"/>
        </w:numPr>
        <w:tabs>
          <w:tab w:val="left" w:pos="360"/>
          <w:tab w:val="left" w:pos="720"/>
          <w:tab w:val="left" w:pos="1440"/>
          <w:tab w:val="left" w:pos="2160"/>
          <w:tab w:val="left" w:pos="2880"/>
          <w:tab w:val="left" w:pos="3600"/>
          <w:tab w:val="left" w:pos="4320"/>
          <w:tab w:val="left" w:pos="5040"/>
        </w:tabs>
      </w:pPr>
      <w:r>
        <w:t>T</w:t>
      </w:r>
      <w:r w:rsidR="00840364">
        <w:t xml:space="preserve">he OLS estimates that the bill will decrease State insurance premium tax collections </w:t>
      </w:r>
      <w:r>
        <w:t>by</w:t>
      </w:r>
      <w:r w:rsidR="00840364">
        <w:t xml:space="preserve"> between $54.9 million and $62.5 million </w:t>
      </w:r>
      <w:r>
        <w:t>in</w:t>
      </w:r>
      <w:r w:rsidR="00840364">
        <w:t xml:space="preserve"> FY 2021</w:t>
      </w:r>
      <w:r>
        <w:t xml:space="preserve">, assuming that the reorganization will </w:t>
      </w:r>
      <w:r w:rsidR="000D1191">
        <w:t xml:space="preserve">already </w:t>
      </w:r>
      <w:r>
        <w:t xml:space="preserve">affect insurance premium tax payments that are due in March and June of 2021.  </w:t>
      </w:r>
    </w:p>
    <w:p w:rsidR="009D57E0" w:rsidRDefault="009D57E0" w:rsidP="00840364">
      <w:pPr>
        <w:tabs>
          <w:tab w:val="left" w:pos="360"/>
          <w:tab w:val="left" w:pos="720"/>
          <w:tab w:val="left" w:pos="1440"/>
          <w:tab w:val="left" w:pos="2160"/>
          <w:tab w:val="left" w:pos="2880"/>
          <w:tab w:val="left" w:pos="3600"/>
          <w:tab w:val="left" w:pos="4320"/>
          <w:tab w:val="left" w:pos="5040"/>
        </w:tabs>
      </w:pPr>
    </w:p>
    <w:p w:rsidR="00840364" w:rsidRDefault="00397131" w:rsidP="00D82673">
      <w:pPr>
        <w:pStyle w:val="StyleBulletedSymbolsymbol"/>
        <w:tabs>
          <w:tab w:val="left" w:pos="360"/>
          <w:tab w:val="left" w:pos="720"/>
          <w:tab w:val="left" w:pos="1440"/>
          <w:tab w:val="left" w:pos="2160"/>
          <w:tab w:val="left" w:pos="2880"/>
          <w:tab w:val="left" w:pos="3600"/>
          <w:tab w:val="left" w:pos="4320"/>
          <w:tab w:val="left" w:pos="5040"/>
        </w:tabs>
        <w:spacing w:after="0"/>
      </w:pPr>
      <w:r>
        <w:t>Because of</w:t>
      </w:r>
      <w:r w:rsidR="00840364">
        <w:t xml:space="preserve"> a one-time $600</w:t>
      </w:r>
      <w:r w:rsidR="005025F7">
        <w:t>.0</w:t>
      </w:r>
      <w:r w:rsidR="00840364">
        <w:t xml:space="preserve"> million assessment on </w:t>
      </w:r>
      <w:r w:rsidR="005025F7">
        <w:t>the successful conversion applicant</w:t>
      </w:r>
      <w:r w:rsidR="00840364">
        <w:t xml:space="preserve">, the OLS estimates that the bill will increase State </w:t>
      </w:r>
      <w:r w:rsidR="008A2F45">
        <w:t xml:space="preserve">net </w:t>
      </w:r>
      <w:r w:rsidR="00840364">
        <w:t xml:space="preserve">tax revenues </w:t>
      </w:r>
      <w:r>
        <w:t>by</w:t>
      </w:r>
      <w:r w:rsidR="00840364">
        <w:t xml:space="preserve"> a range of $506.2 million </w:t>
      </w:r>
      <w:r>
        <w:t>to</w:t>
      </w:r>
      <w:r w:rsidR="00840364">
        <w:t xml:space="preserve"> $565.6 million</w:t>
      </w:r>
      <w:r w:rsidR="005025F7">
        <w:t xml:space="preserve"> in FY 2022</w:t>
      </w:r>
      <w:r w:rsidR="00840364">
        <w:t xml:space="preserve">.  </w:t>
      </w:r>
    </w:p>
    <w:p w:rsidR="00D82673" w:rsidRDefault="00D82673" w:rsidP="00D8267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025F7" w:rsidRDefault="00397131" w:rsidP="00D8267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forecasts that for fiscal years 2023 to 2039, </w:t>
      </w:r>
      <w:r w:rsidR="00A05345">
        <w:t xml:space="preserve">the fiscal years in which the State will </w:t>
      </w:r>
      <w:r w:rsidR="00BA26BC">
        <w:t xml:space="preserve">likely </w:t>
      </w:r>
      <w:r w:rsidR="00A05345">
        <w:t xml:space="preserve">receive additional </w:t>
      </w:r>
      <w:r w:rsidR="00A05345" w:rsidRPr="008A6111">
        <w:t xml:space="preserve">assessment revenue and incur insurance premium losses attributable to the bill, </w:t>
      </w:r>
      <w:r w:rsidRPr="008A6111">
        <w:t xml:space="preserve">the potential combined </w:t>
      </w:r>
      <w:r w:rsidR="00A05345" w:rsidRPr="008A6111">
        <w:t xml:space="preserve">net </w:t>
      </w:r>
      <w:r w:rsidRPr="008A6111">
        <w:t xml:space="preserve">revenue loss to the State may </w:t>
      </w:r>
      <w:r w:rsidR="00A05345" w:rsidRPr="008A6111">
        <w:t>range</w:t>
      </w:r>
      <w:r w:rsidRPr="008A6111">
        <w:t xml:space="preserve"> between $</w:t>
      </w:r>
      <w:r w:rsidR="008A6111" w:rsidRPr="008A6111">
        <w:t>712.7</w:t>
      </w:r>
      <w:r w:rsidRPr="008A6111">
        <w:t xml:space="preserve"> </w:t>
      </w:r>
      <w:r w:rsidR="008A6111" w:rsidRPr="008A6111">
        <w:t>m</w:t>
      </w:r>
      <w:r w:rsidRPr="008A6111">
        <w:t>illion and $</w:t>
      </w:r>
      <w:r w:rsidR="008A6111" w:rsidRPr="008A6111">
        <w:t>927.9</w:t>
      </w:r>
      <w:r w:rsidRPr="008A6111">
        <w:t xml:space="preserve"> </w:t>
      </w:r>
      <w:r w:rsidR="008A6111" w:rsidRPr="008A6111">
        <w:t>m</w:t>
      </w:r>
      <w:r w:rsidRPr="008A6111">
        <w:t>illion.  Starting</w:t>
      </w:r>
      <w:r>
        <w:t xml:space="preserve"> in FY 2040, the bill’s sole fiscal impact will be an annual loss in insurance premium tax revenue.</w:t>
      </w:r>
    </w:p>
    <w:p w:rsidR="00805ED1" w:rsidRDefault="005025F7" w:rsidP="00CD7AF0">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 xml:space="preserve">Indeterminate one-time State expenditures will accrue as the Department of Banking and Insurance will examine and rule on any reorganization application.  The added responsibility may include the engagement of outside experts and consultants, the cost of whose services would be recouped from the applicant.  </w:t>
      </w:r>
    </w:p>
    <w:p w:rsidR="00CD7AF0" w:rsidRDefault="00CD7AF0" w:rsidP="00CD7AF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40364" w:rsidRDefault="00840364" w:rsidP="00840364"/>
    <w:p w:rsidR="00840364" w:rsidRPr="00255944" w:rsidRDefault="00840364" w:rsidP="0084036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40364" w:rsidRDefault="00840364" w:rsidP="00840364">
      <w:pPr>
        <w:tabs>
          <w:tab w:val="left" w:pos="360"/>
          <w:tab w:val="left" w:pos="720"/>
          <w:tab w:val="left" w:pos="1440"/>
          <w:tab w:val="left" w:pos="2160"/>
          <w:tab w:val="left" w:pos="2880"/>
          <w:tab w:val="left" w:pos="3600"/>
          <w:tab w:val="left" w:pos="4320"/>
          <w:tab w:val="left" w:pos="5040"/>
        </w:tabs>
      </w:pPr>
    </w:p>
    <w:p w:rsidR="00F17231" w:rsidRDefault="00840364" w:rsidP="00840364">
      <w:pPr>
        <w:tabs>
          <w:tab w:val="left" w:pos="360"/>
          <w:tab w:val="left" w:pos="720"/>
          <w:tab w:val="left" w:pos="1440"/>
          <w:tab w:val="left" w:pos="2160"/>
          <w:tab w:val="left" w:pos="2880"/>
          <w:tab w:val="left" w:pos="3600"/>
          <w:tab w:val="left" w:pos="4320"/>
          <w:tab w:val="left" w:pos="5040"/>
        </w:tabs>
      </w:pPr>
      <w:r>
        <w:tab/>
        <w:t xml:space="preserve">This bill </w:t>
      </w:r>
      <w:r w:rsidR="00403F32">
        <w:t>permits</w:t>
      </w:r>
      <w:r>
        <w:t xml:space="preserve"> the reorganization of a health service corporation</w:t>
      </w:r>
      <w:r w:rsidR="00D251FC">
        <w:t xml:space="preserve"> </w:t>
      </w:r>
      <w:r w:rsidR="005025F7">
        <w:t xml:space="preserve">(Horizon Blue Cross Blue Shield of New Jersey) </w:t>
      </w:r>
      <w:r w:rsidR="00D251FC">
        <w:t>into a mutual holding company</w:t>
      </w:r>
      <w:r w:rsidR="00FF3DD2">
        <w:t xml:space="preserve">, subject to </w:t>
      </w:r>
      <w:r w:rsidR="00430177">
        <w:t xml:space="preserve">Department of Banking and Insurance </w:t>
      </w:r>
      <w:r w:rsidR="00FF3DD2">
        <w:t xml:space="preserve">approval.  </w:t>
      </w:r>
      <w:r w:rsidR="00A87419">
        <w:t xml:space="preserve">The department may contract with experts and consultants in </w:t>
      </w:r>
      <w:r w:rsidR="00FF3DD2">
        <w:t>examining an application</w:t>
      </w:r>
      <w:r w:rsidR="00A87419">
        <w:t xml:space="preserve"> </w:t>
      </w:r>
      <w:r w:rsidR="00FF3DD2">
        <w:t>with</w:t>
      </w:r>
      <w:r w:rsidR="00A87419">
        <w:t xml:space="preserve"> the costs of t</w:t>
      </w:r>
      <w:r w:rsidR="00FF3DD2">
        <w:t>he outside</w:t>
      </w:r>
      <w:r w:rsidR="00A87419">
        <w:t xml:space="preserve"> services charged to the applicant.</w:t>
      </w:r>
    </w:p>
    <w:p w:rsidR="00F17231" w:rsidRDefault="00755341" w:rsidP="00840364">
      <w:pPr>
        <w:tabs>
          <w:tab w:val="left" w:pos="360"/>
          <w:tab w:val="left" w:pos="720"/>
          <w:tab w:val="left" w:pos="1440"/>
          <w:tab w:val="left" w:pos="2160"/>
          <w:tab w:val="left" w:pos="2880"/>
          <w:tab w:val="left" w:pos="3600"/>
          <w:tab w:val="left" w:pos="4320"/>
          <w:tab w:val="left" w:pos="5040"/>
        </w:tabs>
      </w:pPr>
      <w:r>
        <w:tab/>
      </w:r>
      <w:r w:rsidR="00431569">
        <w:t>If the reorganization is approved and takes effect before June 1, 2022</w:t>
      </w:r>
      <w:r w:rsidR="00A87419">
        <w:t xml:space="preserve">, the company must pay a </w:t>
      </w:r>
      <w:r w:rsidR="00405E73">
        <w:t>one-time</w:t>
      </w:r>
      <w:r w:rsidR="00A87419">
        <w:t xml:space="preserve"> </w:t>
      </w:r>
      <w:r w:rsidR="00405E73">
        <w:t xml:space="preserve">$600 million </w:t>
      </w:r>
      <w:r w:rsidR="00A87419">
        <w:t xml:space="preserve">assessment </w:t>
      </w:r>
      <w:r w:rsidR="00431569">
        <w:t xml:space="preserve">to the State </w:t>
      </w:r>
      <w:r w:rsidR="00A87419">
        <w:t xml:space="preserve">by June 1, 2022.  If the </w:t>
      </w:r>
      <w:r w:rsidR="00405E73">
        <w:t xml:space="preserve">reorganization takes effect after that date, </w:t>
      </w:r>
      <w:r w:rsidR="00A87419">
        <w:t xml:space="preserve">the </w:t>
      </w:r>
      <w:r w:rsidR="00405E73">
        <w:t>payment</w:t>
      </w:r>
      <w:r w:rsidR="00A87419">
        <w:t xml:space="preserve"> will be due by June 1 of the calendar year following the </w:t>
      </w:r>
      <w:r w:rsidR="00405E73">
        <w:t>reorganization</w:t>
      </w:r>
      <w:r w:rsidR="00A87419">
        <w:t xml:space="preserve">.  </w:t>
      </w:r>
      <w:r w:rsidR="00405E73">
        <w:t xml:space="preserve"> </w:t>
      </w:r>
    </w:p>
    <w:p w:rsidR="00405E73" w:rsidRDefault="00405E73" w:rsidP="00405E73">
      <w:pPr>
        <w:tabs>
          <w:tab w:val="left" w:pos="360"/>
          <w:tab w:val="left" w:pos="720"/>
          <w:tab w:val="left" w:pos="1440"/>
          <w:tab w:val="left" w:pos="2160"/>
          <w:tab w:val="left" w:pos="2880"/>
          <w:tab w:val="left" w:pos="3600"/>
          <w:tab w:val="left" w:pos="4320"/>
          <w:tab w:val="left" w:pos="5040"/>
        </w:tabs>
      </w:pPr>
      <w:r>
        <w:tab/>
      </w:r>
      <w:r w:rsidR="00932EBE">
        <w:t>For 17 years beginning with the calendar year following the initial assessment</w:t>
      </w:r>
      <w:r w:rsidR="00830EFC">
        <w:t>, t</w:t>
      </w:r>
      <w:r>
        <w:t>he mutual holding company must also pay</w:t>
      </w:r>
      <w:r w:rsidR="00BA4754">
        <w:t xml:space="preserve"> to the State</w:t>
      </w:r>
      <w:r>
        <w:t xml:space="preserve"> an annual limited duration business tax</w:t>
      </w:r>
      <w:r w:rsidR="00830EFC">
        <w:t xml:space="preserve"> by June 1 of each year</w:t>
      </w:r>
      <w:r w:rsidR="004E1E03">
        <w:t xml:space="preserve">.  </w:t>
      </w:r>
      <w:r w:rsidR="00BB37AC">
        <w:t>T</w:t>
      </w:r>
      <w:r>
        <w:t xml:space="preserve">otal </w:t>
      </w:r>
      <w:r w:rsidR="00BB37AC">
        <w:t>limited duration business tax payments over the 17-year period cannot exceed $650 million</w:t>
      </w:r>
      <w:r w:rsidR="00CA0364">
        <w:t xml:space="preserve"> with the payment in each year determined according to </w:t>
      </w:r>
      <w:r>
        <w:t>the following schedule:</w:t>
      </w:r>
    </w:p>
    <w:p w:rsidR="0000755E" w:rsidRDefault="0000755E" w:rsidP="0000755E">
      <w:pPr>
        <w:tabs>
          <w:tab w:val="left" w:pos="360"/>
          <w:tab w:val="left" w:pos="720"/>
          <w:tab w:val="left" w:pos="1440"/>
          <w:tab w:val="left" w:pos="2160"/>
          <w:tab w:val="left" w:pos="2880"/>
          <w:tab w:val="left" w:pos="3600"/>
          <w:tab w:val="left" w:pos="4320"/>
          <w:tab w:val="left" w:pos="5040"/>
        </w:tabs>
      </w:pPr>
      <w:r>
        <w:tab/>
        <w:t>(1)  In the first assessment year, 20 percent of the reorganized insurer’s earned premiums in the preceding calendar year, with the assessment not to exceed $100 million.</w:t>
      </w:r>
    </w:p>
    <w:p w:rsidR="0000755E" w:rsidRDefault="0000755E" w:rsidP="0000755E">
      <w:pPr>
        <w:tabs>
          <w:tab w:val="left" w:pos="360"/>
          <w:tab w:val="left" w:pos="720"/>
          <w:tab w:val="left" w:pos="1440"/>
          <w:tab w:val="left" w:pos="2160"/>
          <w:tab w:val="left" w:pos="2880"/>
          <w:tab w:val="left" w:pos="3600"/>
          <w:tab w:val="left" w:pos="4320"/>
          <w:tab w:val="left" w:pos="5040"/>
        </w:tabs>
      </w:pPr>
      <w:r>
        <w:tab/>
        <w:t xml:space="preserve">(2)  In </w:t>
      </w:r>
      <w:r w:rsidR="00642CAE">
        <w:t xml:space="preserve">each of </w:t>
      </w:r>
      <w:r>
        <w:t>the next ten assessment years, 5 percent of the reorganized insurer’s earned premiums in the preceding calendar year, with each year’s assessment not to exceed $25 million.</w:t>
      </w:r>
    </w:p>
    <w:p w:rsidR="0000755E" w:rsidRDefault="0000755E" w:rsidP="0000755E">
      <w:pPr>
        <w:tabs>
          <w:tab w:val="left" w:pos="360"/>
          <w:tab w:val="left" w:pos="720"/>
          <w:tab w:val="left" w:pos="1440"/>
          <w:tab w:val="left" w:pos="2160"/>
          <w:tab w:val="left" w:pos="2880"/>
          <w:tab w:val="left" w:pos="3600"/>
          <w:tab w:val="left" w:pos="4320"/>
          <w:tab w:val="left" w:pos="5040"/>
        </w:tabs>
      </w:pPr>
      <w:r>
        <w:tab/>
        <w:t xml:space="preserve">(3)  In </w:t>
      </w:r>
      <w:r w:rsidR="001D0007">
        <w:t xml:space="preserve">each of </w:t>
      </w:r>
      <w:r>
        <w:t>the last six assessment years, 10 percent of the reorganized insurer’s earned premiums in the preceding calendar year, with each year’s assessment not to exceed $50 million.</w:t>
      </w:r>
    </w:p>
    <w:p w:rsidR="0000755E" w:rsidRDefault="0000755E" w:rsidP="0000755E">
      <w:pPr>
        <w:tabs>
          <w:tab w:val="left" w:pos="360"/>
          <w:tab w:val="left" w:pos="720"/>
          <w:tab w:val="left" w:pos="1440"/>
          <w:tab w:val="left" w:pos="2160"/>
          <w:tab w:val="left" w:pos="2880"/>
          <w:tab w:val="left" w:pos="3600"/>
          <w:tab w:val="left" w:pos="4320"/>
          <w:tab w:val="left" w:pos="5040"/>
        </w:tabs>
      </w:pPr>
      <w:r>
        <w:tab/>
        <w:t xml:space="preserve">If the mutual holding company does not pay the </w:t>
      </w:r>
      <w:r w:rsidR="000D1191">
        <w:t>required</w:t>
      </w:r>
      <w:r>
        <w:t xml:space="preserve"> assessment for a given calendar year, th</w:t>
      </w:r>
      <w:r w:rsidR="00216394">
        <w:t>at</w:t>
      </w:r>
      <w:r>
        <w:t xml:space="preserve"> payment</w:t>
      </w:r>
      <w:r w:rsidR="00216394">
        <w:t>, along with the remaining payment schedule, will</w:t>
      </w:r>
      <w:r>
        <w:t xml:space="preserve"> be deferred </w:t>
      </w:r>
      <w:r w:rsidR="00216394">
        <w:t xml:space="preserve">one year.  Any payment </w:t>
      </w:r>
      <w:r w:rsidR="001D0007">
        <w:t xml:space="preserve">obligation </w:t>
      </w:r>
      <w:r w:rsidR="00216394">
        <w:t xml:space="preserve">required under the assessment schedule that remains deferred and outstanding 25 years from the date the reorganization takes effect will be cancelled.  </w:t>
      </w:r>
    </w:p>
    <w:p w:rsidR="00840364" w:rsidRDefault="00216394" w:rsidP="00840364">
      <w:pPr>
        <w:tabs>
          <w:tab w:val="left" w:pos="360"/>
          <w:tab w:val="left" w:pos="720"/>
          <w:tab w:val="left" w:pos="1440"/>
          <w:tab w:val="left" w:pos="2160"/>
          <w:tab w:val="left" w:pos="2880"/>
          <w:tab w:val="left" w:pos="3600"/>
          <w:tab w:val="left" w:pos="4320"/>
          <w:tab w:val="left" w:pos="5040"/>
        </w:tabs>
      </w:pPr>
      <w:r>
        <w:tab/>
        <w:t>Lastly, t</w:t>
      </w:r>
      <w:r w:rsidR="00F17231">
        <w:t xml:space="preserve">he reorganized entity </w:t>
      </w:r>
      <w:r w:rsidR="005636DE">
        <w:t xml:space="preserve">will </w:t>
      </w:r>
      <w:r w:rsidR="00F17231">
        <w:t xml:space="preserve">continue to be subject to the State’s insurance premium tax but </w:t>
      </w:r>
      <w:r w:rsidR="005636DE">
        <w:t>will</w:t>
      </w:r>
      <w:r w:rsidR="00F17231">
        <w:t xml:space="preserve"> newly qualify for</w:t>
      </w:r>
      <w:r w:rsidR="005636DE">
        <w:t xml:space="preserve"> a cap on the total tax liability that applies to other insurers under current law.  Currently, a health service corporation pays insurance premium tax on 100 percent of premiums earned in New Jersey</w:t>
      </w:r>
      <w:r w:rsidR="000F520E">
        <w:t xml:space="preserve"> at the following rates: 2.1 percent for premiums paid on individual, or “non-group” business and 1.05 percent on group accident and health insurance premiums.  </w:t>
      </w:r>
      <w:r w:rsidR="005636DE">
        <w:t xml:space="preserve">Under the bill, </w:t>
      </w:r>
      <w:r w:rsidR="000F520E">
        <w:t xml:space="preserve">the calculation of the base tax liability will not change, but if the company’s New Jersey premiums exceed 12.5 percent of its total worldwide premiums, it </w:t>
      </w:r>
      <w:r w:rsidR="00211E6D">
        <w:t xml:space="preserve">will </w:t>
      </w:r>
      <w:r w:rsidR="000F520E">
        <w:t xml:space="preserve">pay </w:t>
      </w:r>
      <w:r w:rsidR="005636DE">
        <w:t>not more than 12.5 percent of worldwide premiums earned</w:t>
      </w:r>
      <w:r w:rsidR="00CE1EB7">
        <w:t>.</w:t>
      </w:r>
      <w:r w:rsidR="00E10195">
        <w:t xml:space="preserve">  </w:t>
      </w:r>
    </w:p>
    <w:p w:rsidR="00784AC6" w:rsidRDefault="00784AC6" w:rsidP="00840364">
      <w:pPr>
        <w:tabs>
          <w:tab w:val="left" w:pos="360"/>
          <w:tab w:val="left" w:pos="720"/>
          <w:tab w:val="left" w:pos="1440"/>
          <w:tab w:val="left" w:pos="2160"/>
          <w:tab w:val="left" w:pos="2880"/>
          <w:tab w:val="left" w:pos="3600"/>
          <w:tab w:val="left" w:pos="4320"/>
          <w:tab w:val="left" w:pos="5040"/>
        </w:tabs>
      </w:pPr>
    </w:p>
    <w:p w:rsidR="00840364" w:rsidRDefault="00840364" w:rsidP="00840364">
      <w:pPr>
        <w:tabs>
          <w:tab w:val="left" w:pos="360"/>
          <w:tab w:val="left" w:pos="720"/>
          <w:tab w:val="left" w:pos="1440"/>
          <w:tab w:val="left" w:pos="2160"/>
          <w:tab w:val="left" w:pos="2880"/>
          <w:tab w:val="left" w:pos="3600"/>
          <w:tab w:val="left" w:pos="4320"/>
          <w:tab w:val="left" w:pos="5040"/>
        </w:tabs>
      </w:pPr>
    </w:p>
    <w:p w:rsidR="00840364" w:rsidRDefault="00840364" w:rsidP="00840364">
      <w:pPr>
        <w:pStyle w:val="SectionHeading"/>
        <w:tabs>
          <w:tab w:val="left" w:pos="360"/>
          <w:tab w:val="left" w:pos="720"/>
          <w:tab w:val="left" w:pos="1440"/>
          <w:tab w:val="left" w:pos="2160"/>
          <w:tab w:val="left" w:pos="2880"/>
          <w:tab w:val="left" w:pos="3600"/>
          <w:tab w:val="left" w:pos="4320"/>
          <w:tab w:val="left" w:pos="5040"/>
        </w:tabs>
      </w:pPr>
      <w:r>
        <w:t>FISCAL ANALYSIS</w:t>
      </w:r>
    </w:p>
    <w:p w:rsidR="00840364" w:rsidRDefault="00840364" w:rsidP="00840364">
      <w:pPr>
        <w:tabs>
          <w:tab w:val="left" w:pos="360"/>
          <w:tab w:val="left" w:pos="720"/>
          <w:tab w:val="left" w:pos="1440"/>
          <w:tab w:val="left" w:pos="2160"/>
          <w:tab w:val="left" w:pos="2880"/>
          <w:tab w:val="left" w:pos="3600"/>
          <w:tab w:val="left" w:pos="4320"/>
          <w:tab w:val="left" w:pos="5040"/>
        </w:tabs>
      </w:pPr>
    </w:p>
    <w:p w:rsidR="00840364" w:rsidRDefault="00840364" w:rsidP="00840364">
      <w:pPr>
        <w:pStyle w:val="InterSectionHeading"/>
        <w:tabs>
          <w:tab w:val="left" w:pos="720"/>
          <w:tab w:val="left" w:pos="1440"/>
          <w:tab w:val="left" w:pos="2160"/>
          <w:tab w:val="left" w:pos="2880"/>
          <w:tab w:val="left" w:pos="3600"/>
          <w:tab w:val="left" w:pos="4320"/>
          <w:tab w:val="left" w:pos="5040"/>
        </w:tabs>
      </w:pPr>
      <w:r>
        <w:t>EXECUTIVE BRANCH</w:t>
      </w:r>
    </w:p>
    <w:p w:rsidR="00840364" w:rsidRDefault="00840364" w:rsidP="00840364">
      <w:pPr>
        <w:tabs>
          <w:tab w:val="left" w:pos="360"/>
          <w:tab w:val="left" w:pos="720"/>
          <w:tab w:val="left" w:pos="1440"/>
          <w:tab w:val="left" w:pos="2160"/>
          <w:tab w:val="left" w:pos="2880"/>
          <w:tab w:val="left" w:pos="3600"/>
          <w:tab w:val="left" w:pos="4320"/>
          <w:tab w:val="left" w:pos="5040"/>
        </w:tabs>
      </w:pPr>
    </w:p>
    <w:p w:rsidR="00CD7AF0" w:rsidRDefault="00840364" w:rsidP="00CD7AF0">
      <w:pPr>
        <w:tabs>
          <w:tab w:val="left" w:pos="360"/>
          <w:tab w:val="left" w:pos="720"/>
          <w:tab w:val="left" w:pos="1440"/>
          <w:tab w:val="left" w:pos="2160"/>
          <w:tab w:val="left" w:pos="2880"/>
          <w:tab w:val="left" w:pos="3600"/>
          <w:tab w:val="left" w:pos="4320"/>
          <w:tab w:val="left" w:pos="5040"/>
        </w:tabs>
      </w:pPr>
      <w:r>
        <w:tab/>
        <w:t>None received.</w:t>
      </w:r>
      <w:r w:rsidR="00CD7AF0">
        <w:br w:type="page"/>
      </w:r>
    </w:p>
    <w:p w:rsidR="00840364" w:rsidRDefault="00840364" w:rsidP="00840364">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840364" w:rsidRDefault="00840364" w:rsidP="00840364">
      <w:pPr>
        <w:tabs>
          <w:tab w:val="left" w:pos="360"/>
          <w:tab w:val="left" w:pos="720"/>
          <w:tab w:val="left" w:pos="1440"/>
          <w:tab w:val="left" w:pos="2160"/>
          <w:tab w:val="left" w:pos="2880"/>
          <w:tab w:val="left" w:pos="3600"/>
          <w:tab w:val="left" w:pos="4320"/>
          <w:tab w:val="left" w:pos="5040"/>
        </w:tabs>
      </w:pPr>
    </w:p>
    <w:p w:rsidR="00EE1881" w:rsidRDefault="00840364" w:rsidP="00EE1881">
      <w:pPr>
        <w:tabs>
          <w:tab w:val="left" w:pos="360"/>
          <w:tab w:val="left" w:pos="720"/>
          <w:tab w:val="left" w:pos="1440"/>
          <w:tab w:val="left" w:pos="2160"/>
          <w:tab w:val="left" w:pos="2880"/>
          <w:tab w:val="left" w:pos="3600"/>
          <w:tab w:val="left" w:pos="4320"/>
          <w:tab w:val="left" w:pos="5040"/>
        </w:tabs>
      </w:pPr>
      <w:r>
        <w:tab/>
        <w:t xml:space="preserve">The OLS </w:t>
      </w:r>
      <w:r w:rsidR="00EC2678">
        <w:t>projects that</w:t>
      </w:r>
      <w:r>
        <w:t xml:space="preserve"> the bill will </w:t>
      </w:r>
      <w:r w:rsidR="00A0045E">
        <w:t xml:space="preserve">lower </w:t>
      </w:r>
      <w:r w:rsidR="002E471B">
        <w:t xml:space="preserve">annual </w:t>
      </w:r>
      <w:r w:rsidR="00A0045E">
        <w:t xml:space="preserve">State revenue collections by </w:t>
      </w:r>
      <w:r w:rsidR="000D1191">
        <w:t>varying</w:t>
      </w:r>
      <w:r w:rsidR="00A0045E">
        <w:t xml:space="preserve"> amounts in each fiscal year with the exception of revenue gains in FY 2022 and FY 2023</w:t>
      </w:r>
      <w:r w:rsidR="00EA7AE2">
        <w:t xml:space="preserve">.  </w:t>
      </w:r>
      <w:r w:rsidR="00A0045E">
        <w:t>In addition,</w:t>
      </w:r>
      <w:r w:rsidR="00EE1881">
        <w:t xml:space="preserve"> </w:t>
      </w:r>
      <w:r w:rsidR="00486F97">
        <w:t xml:space="preserve">indeterminate one-time </w:t>
      </w:r>
      <w:r w:rsidR="00EE1881">
        <w:t xml:space="preserve">State expenditures will </w:t>
      </w:r>
      <w:r w:rsidR="00486F97">
        <w:t>accrue</w:t>
      </w:r>
      <w:r w:rsidR="00EE1881">
        <w:t xml:space="preserve"> as the Department of Banking and Insurance will examine and rule on</w:t>
      </w:r>
      <w:r w:rsidR="000D1191">
        <w:t xml:space="preserve"> any</w:t>
      </w:r>
      <w:r w:rsidR="00EE1881">
        <w:t xml:space="preserve"> reorganization application.  The added responsibility may include the engagement of outside experts and consultants, the cost of whose services would ultimately be recouped from the applicant.  </w:t>
      </w:r>
    </w:p>
    <w:p w:rsidR="00174931" w:rsidRDefault="00EA7AE2" w:rsidP="00646254">
      <w:pPr>
        <w:tabs>
          <w:tab w:val="left" w:pos="360"/>
          <w:tab w:val="left" w:pos="720"/>
          <w:tab w:val="left" w:pos="1440"/>
          <w:tab w:val="left" w:pos="2160"/>
          <w:tab w:val="left" w:pos="2880"/>
          <w:tab w:val="left" w:pos="3600"/>
          <w:tab w:val="left" w:pos="4320"/>
          <w:tab w:val="left" w:pos="5040"/>
        </w:tabs>
      </w:pPr>
      <w:r>
        <w:tab/>
      </w:r>
      <w:r w:rsidR="00646254">
        <w:t xml:space="preserve">For purposes of this </w:t>
      </w:r>
      <w:r w:rsidR="00934C12">
        <w:t xml:space="preserve">revenue impact </w:t>
      </w:r>
      <w:r w:rsidR="00646254">
        <w:t>analysis, the OLS</w:t>
      </w:r>
      <w:r w:rsidR="00646254" w:rsidRPr="00646254">
        <w:t xml:space="preserve"> </w:t>
      </w:r>
      <w:r w:rsidR="005E2E48">
        <w:t>builds two scenarios</w:t>
      </w:r>
      <w:r w:rsidR="006E5787">
        <w:t xml:space="preserve">.  </w:t>
      </w:r>
      <w:r w:rsidR="002E1747">
        <w:t>F</w:t>
      </w:r>
      <w:r w:rsidR="00095103">
        <w:t xml:space="preserve">or the first scenario, </w:t>
      </w:r>
      <w:r w:rsidR="002E1747">
        <w:t xml:space="preserve">the OLS </w:t>
      </w:r>
      <w:r w:rsidR="00646254" w:rsidRPr="00646254">
        <w:t>assume</w:t>
      </w:r>
      <w:r w:rsidR="00646254">
        <w:t>s</w:t>
      </w:r>
      <w:r w:rsidR="00646254" w:rsidRPr="00646254">
        <w:t xml:space="preserve"> </w:t>
      </w:r>
      <w:r w:rsidR="000D1191">
        <w:t>two-percent</w:t>
      </w:r>
      <w:r w:rsidR="00646254" w:rsidRPr="00646254">
        <w:t xml:space="preserve"> growth in </w:t>
      </w:r>
      <w:r w:rsidR="00646254">
        <w:t xml:space="preserve">annual taxable premiums </w:t>
      </w:r>
      <w:r w:rsidR="00646254" w:rsidRPr="00646254">
        <w:t xml:space="preserve">based on the actual average rate of growth in the years for which </w:t>
      </w:r>
      <w:r w:rsidR="00646254">
        <w:t>the OLS has</w:t>
      </w:r>
      <w:r w:rsidR="00646254" w:rsidRPr="00646254">
        <w:t xml:space="preserve"> access to data.  </w:t>
      </w:r>
      <w:r w:rsidR="006E5787">
        <w:t>T</w:t>
      </w:r>
      <w:r w:rsidR="00CA1D02">
        <w:t xml:space="preserve">he OLS </w:t>
      </w:r>
      <w:r w:rsidR="006E5787">
        <w:t>bases the second scenario on</w:t>
      </w:r>
      <w:r w:rsidR="00CA1D02">
        <w:t xml:space="preserve"> current </w:t>
      </w:r>
      <w:r w:rsidR="006F0CB1">
        <w:t>Federal Reserve Board</w:t>
      </w:r>
      <w:r w:rsidR="00CA1D02">
        <w:t xml:space="preserve"> </w:t>
      </w:r>
      <w:r w:rsidR="006F0CB1">
        <w:t xml:space="preserve">projections </w:t>
      </w:r>
      <w:r w:rsidR="00CA1D02">
        <w:t xml:space="preserve">for the </w:t>
      </w:r>
      <w:r w:rsidR="00CA1D02" w:rsidRPr="00FA7F0D">
        <w:t xml:space="preserve">price index for </w:t>
      </w:r>
      <w:r w:rsidR="00CA1D02">
        <w:t xml:space="preserve">core </w:t>
      </w:r>
      <w:r w:rsidR="00CA1D02" w:rsidRPr="00FA7F0D">
        <w:t xml:space="preserve">personal consumption expenditures </w:t>
      </w:r>
      <w:r w:rsidR="006E5787">
        <w:t xml:space="preserve">(Core PCE) </w:t>
      </w:r>
      <w:r w:rsidR="00CA1D02" w:rsidRPr="00FA7F0D">
        <w:t>excluding food and energy</w:t>
      </w:r>
      <w:r w:rsidR="00CA1D02">
        <w:t>.</w:t>
      </w:r>
    </w:p>
    <w:p w:rsidR="00707533" w:rsidRDefault="005E2E48" w:rsidP="00707533">
      <w:pPr>
        <w:tabs>
          <w:tab w:val="left" w:pos="360"/>
          <w:tab w:val="left" w:pos="720"/>
          <w:tab w:val="left" w:pos="1440"/>
          <w:tab w:val="left" w:pos="2160"/>
          <w:tab w:val="left" w:pos="2880"/>
          <w:tab w:val="left" w:pos="3600"/>
          <w:tab w:val="left" w:pos="4320"/>
          <w:tab w:val="left" w:pos="5040"/>
        </w:tabs>
      </w:pPr>
      <w:r>
        <w:tab/>
      </w:r>
      <w:r w:rsidR="006E5787">
        <w:t>T</w:t>
      </w:r>
      <w:r w:rsidR="00646254">
        <w:t>he table below displays the difference in annual State tax collection</w:t>
      </w:r>
      <w:r w:rsidR="006E5787">
        <w:t>s</w:t>
      </w:r>
      <w:r w:rsidR="00646254">
        <w:t xml:space="preserve"> under current law</w:t>
      </w:r>
      <w:r w:rsidR="00FA1216">
        <w:t xml:space="preserve"> and the bill using both scenarios.</w:t>
      </w:r>
      <w:r w:rsidR="00646254">
        <w:t xml:space="preserve"> </w:t>
      </w:r>
      <w:r w:rsidR="000D1191">
        <w:t xml:space="preserve"> </w:t>
      </w:r>
      <w:r w:rsidR="000D1191" w:rsidRPr="00646254">
        <w:t>As an overarching caveat to t</w:t>
      </w:r>
      <w:r w:rsidR="000D1191">
        <w:t>hese projections</w:t>
      </w:r>
      <w:r w:rsidR="000D1191" w:rsidRPr="00646254">
        <w:t xml:space="preserve">, </w:t>
      </w:r>
      <w:r w:rsidR="000D1191">
        <w:t xml:space="preserve">the OLS </w:t>
      </w:r>
      <w:r w:rsidR="000D1191" w:rsidRPr="00646254">
        <w:t>note</w:t>
      </w:r>
      <w:r w:rsidR="000D1191">
        <w:t>s</w:t>
      </w:r>
      <w:r w:rsidR="000D1191" w:rsidRPr="00646254">
        <w:t xml:space="preserve"> that there is a larger degree of uncertainty </w:t>
      </w:r>
      <w:r w:rsidR="00486F97">
        <w:t>concerning</w:t>
      </w:r>
      <w:r w:rsidR="000D1191" w:rsidRPr="00646254">
        <w:t xml:space="preserve"> the more distant </w:t>
      </w:r>
      <w:r w:rsidR="000D1191">
        <w:t>years</w:t>
      </w:r>
      <w:r w:rsidR="000D1191" w:rsidRPr="00646254">
        <w:t xml:space="preserve">.  </w:t>
      </w:r>
    </w:p>
    <w:p w:rsidR="00097967" w:rsidRDefault="00097967" w:rsidP="00707533">
      <w:pPr>
        <w:tabs>
          <w:tab w:val="left" w:pos="360"/>
          <w:tab w:val="left" w:pos="720"/>
          <w:tab w:val="left" w:pos="1440"/>
          <w:tab w:val="left" w:pos="2160"/>
          <w:tab w:val="left" w:pos="2880"/>
          <w:tab w:val="left" w:pos="3600"/>
          <w:tab w:val="left" w:pos="4320"/>
          <w:tab w:val="left" w:pos="5040"/>
        </w:tabs>
      </w:pPr>
    </w:p>
    <w:tbl>
      <w:tblPr>
        <w:tblW w:w="9288" w:type="dxa"/>
        <w:jc w:val="center"/>
        <w:tblLayout w:type="fixed"/>
        <w:tblLook w:val="0000" w:firstRow="0" w:lastRow="0" w:firstColumn="0" w:lastColumn="0" w:noHBand="0" w:noVBand="0"/>
      </w:tblPr>
      <w:tblGrid>
        <w:gridCol w:w="771"/>
        <w:gridCol w:w="1269"/>
        <w:gridCol w:w="1152"/>
        <w:gridCol w:w="1245"/>
        <w:gridCol w:w="253"/>
        <w:gridCol w:w="854"/>
        <w:gridCol w:w="1260"/>
        <w:gridCol w:w="1250"/>
        <w:gridCol w:w="1234"/>
      </w:tblGrid>
      <w:tr w:rsidR="0059782E" w:rsidTr="00CD6572">
        <w:trPr>
          <w:trHeight w:val="558"/>
          <w:jc w:val="center"/>
        </w:trPr>
        <w:tc>
          <w:tcPr>
            <w:tcW w:w="9288" w:type="dxa"/>
            <w:gridSpan w:val="9"/>
            <w:tcBorders>
              <w:top w:val="single" w:sz="18" w:space="0" w:color="auto"/>
              <w:left w:val="single" w:sz="18" w:space="0" w:color="auto"/>
              <w:bottom w:val="single" w:sz="18" w:space="0" w:color="auto"/>
              <w:right w:val="single" w:sz="18" w:space="0" w:color="auto"/>
            </w:tcBorders>
            <w:vAlign w:val="center"/>
          </w:tcPr>
          <w:p w:rsidR="0059782E" w:rsidRPr="0059782E" w:rsidRDefault="0059782E" w:rsidP="00CD6572">
            <w:pPr>
              <w:autoSpaceDE w:val="0"/>
              <w:autoSpaceDN w:val="0"/>
              <w:adjustRightInd w:val="0"/>
              <w:spacing w:line="240" w:lineRule="auto"/>
              <w:jc w:val="center"/>
              <w:rPr>
                <w:b/>
                <w:color w:val="000000"/>
                <w:sz w:val="22"/>
                <w:szCs w:val="22"/>
              </w:rPr>
            </w:pPr>
            <w:r w:rsidRPr="0059782E">
              <w:rPr>
                <w:b/>
                <w:color w:val="000000"/>
                <w:sz w:val="22"/>
                <w:szCs w:val="22"/>
              </w:rPr>
              <w:t>State Revenue Collection</w:t>
            </w:r>
            <w:r w:rsidR="00150AF5">
              <w:rPr>
                <w:b/>
                <w:color w:val="000000"/>
                <w:sz w:val="22"/>
                <w:szCs w:val="22"/>
              </w:rPr>
              <w:t>s</w:t>
            </w:r>
            <w:r w:rsidRPr="0059782E">
              <w:rPr>
                <w:b/>
                <w:color w:val="000000"/>
                <w:sz w:val="22"/>
                <w:szCs w:val="22"/>
              </w:rPr>
              <w:t xml:space="preserve"> under Current Law and Bill  (in </w:t>
            </w:r>
            <w:r w:rsidR="006E5787">
              <w:rPr>
                <w:b/>
                <w:color w:val="000000"/>
                <w:sz w:val="22"/>
                <w:szCs w:val="22"/>
              </w:rPr>
              <w:t xml:space="preserve">$ </w:t>
            </w:r>
            <w:r w:rsidRPr="0059782E">
              <w:rPr>
                <w:b/>
                <w:color w:val="000000"/>
                <w:sz w:val="22"/>
                <w:szCs w:val="22"/>
              </w:rPr>
              <w:t>Millions)</w:t>
            </w:r>
          </w:p>
        </w:tc>
      </w:tr>
      <w:tr w:rsidR="0059782E" w:rsidTr="00FD321E">
        <w:trPr>
          <w:trHeight w:val="704"/>
          <w:jc w:val="center"/>
        </w:trPr>
        <w:tc>
          <w:tcPr>
            <w:tcW w:w="4437" w:type="dxa"/>
            <w:gridSpan w:val="4"/>
            <w:tcBorders>
              <w:top w:val="single" w:sz="18" w:space="0" w:color="auto"/>
              <w:left w:val="single" w:sz="18" w:space="0" w:color="auto"/>
              <w:bottom w:val="single" w:sz="12" w:space="0" w:color="auto"/>
              <w:right w:val="single" w:sz="12" w:space="0" w:color="auto"/>
            </w:tcBorders>
            <w:shd w:val="clear" w:color="auto" w:fill="BFBFBF" w:themeFill="background1" w:themeFillShade="BF"/>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 xml:space="preserve">Scenario </w:t>
            </w:r>
            <w:r w:rsidR="000D1191">
              <w:rPr>
                <w:color w:val="000000"/>
                <w:sz w:val="20"/>
                <w:szCs w:val="20"/>
              </w:rPr>
              <w:t>2</w:t>
            </w:r>
            <w:r>
              <w:rPr>
                <w:color w:val="000000"/>
                <w:sz w:val="20"/>
                <w:szCs w:val="20"/>
              </w:rPr>
              <w:t xml:space="preserve">: Core PCE </w:t>
            </w:r>
            <w:r w:rsidR="006E5787">
              <w:rPr>
                <w:color w:val="000000"/>
                <w:sz w:val="20"/>
                <w:szCs w:val="20"/>
              </w:rPr>
              <w:t>Growth</w:t>
            </w:r>
            <w:r>
              <w:rPr>
                <w:color w:val="000000"/>
                <w:sz w:val="20"/>
                <w:szCs w:val="20"/>
              </w:rPr>
              <w:t xml:space="preserve"> </w:t>
            </w:r>
            <w:r w:rsidR="006E5787">
              <w:rPr>
                <w:color w:val="000000"/>
                <w:sz w:val="20"/>
                <w:szCs w:val="20"/>
              </w:rPr>
              <w:t xml:space="preserve">as Inflator of </w:t>
            </w:r>
            <w:r w:rsidR="00662450">
              <w:rPr>
                <w:color w:val="000000"/>
                <w:sz w:val="20"/>
                <w:szCs w:val="20"/>
              </w:rPr>
              <w:t xml:space="preserve">     </w:t>
            </w:r>
            <w:r w:rsidR="006E5787">
              <w:rPr>
                <w:color w:val="000000"/>
                <w:sz w:val="20"/>
                <w:szCs w:val="20"/>
              </w:rPr>
              <w:t>Insurance Premiums</w:t>
            </w:r>
          </w:p>
        </w:tc>
        <w:tc>
          <w:tcPr>
            <w:tcW w:w="253" w:type="dxa"/>
            <w:tcBorders>
              <w:top w:val="single" w:sz="18" w:space="0" w:color="auto"/>
              <w:left w:val="nil"/>
              <w:right w:val="nil"/>
            </w:tcBorders>
            <w:vAlign w:val="center"/>
          </w:tcPr>
          <w:p w:rsidR="0059782E" w:rsidRDefault="0059782E" w:rsidP="00316873">
            <w:pPr>
              <w:autoSpaceDE w:val="0"/>
              <w:autoSpaceDN w:val="0"/>
              <w:adjustRightInd w:val="0"/>
              <w:spacing w:line="240" w:lineRule="auto"/>
              <w:jc w:val="center"/>
              <w:rPr>
                <w:color w:val="000000"/>
                <w:sz w:val="20"/>
                <w:szCs w:val="20"/>
              </w:rPr>
            </w:pPr>
          </w:p>
        </w:tc>
        <w:tc>
          <w:tcPr>
            <w:tcW w:w="4598" w:type="dxa"/>
            <w:gridSpan w:val="4"/>
            <w:tcBorders>
              <w:top w:val="single" w:sz="18" w:space="0" w:color="auto"/>
              <w:left w:val="single" w:sz="12" w:space="0" w:color="auto"/>
              <w:bottom w:val="single" w:sz="12" w:space="0" w:color="auto"/>
              <w:right w:val="single" w:sz="18" w:space="0" w:color="auto"/>
            </w:tcBorders>
            <w:shd w:val="clear" w:color="auto" w:fill="BFBFBF" w:themeFill="background1" w:themeFillShade="BF"/>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 xml:space="preserve">Scenario 1: </w:t>
            </w:r>
            <w:r w:rsidR="00662450">
              <w:rPr>
                <w:color w:val="000000"/>
                <w:sz w:val="20"/>
                <w:szCs w:val="20"/>
              </w:rPr>
              <w:t xml:space="preserve">Two-Percent </w:t>
            </w:r>
            <w:r>
              <w:rPr>
                <w:color w:val="000000"/>
                <w:sz w:val="20"/>
                <w:szCs w:val="20"/>
              </w:rPr>
              <w:t xml:space="preserve">Growth </w:t>
            </w:r>
            <w:r w:rsidR="00662450">
              <w:rPr>
                <w:color w:val="000000"/>
                <w:sz w:val="20"/>
                <w:szCs w:val="20"/>
              </w:rPr>
              <w:t>as Inflator of Insurance Premiums Based on Historical Data</w:t>
            </w:r>
          </w:p>
        </w:tc>
      </w:tr>
      <w:tr w:rsidR="0059782E" w:rsidTr="00BD7EE4">
        <w:trPr>
          <w:trHeight w:val="584"/>
          <w:jc w:val="center"/>
        </w:trPr>
        <w:tc>
          <w:tcPr>
            <w:tcW w:w="771" w:type="dxa"/>
            <w:tcBorders>
              <w:top w:val="single" w:sz="12" w:space="0" w:color="auto"/>
              <w:left w:val="single" w:sz="18" w:space="0" w:color="auto"/>
              <w:bottom w:val="single" w:sz="6" w:space="0" w:color="auto"/>
              <w:right w:val="single" w:sz="6" w:space="0" w:color="auto"/>
            </w:tcBorders>
            <w:shd w:val="solid" w:color="FFFFFF" w:fill="auto"/>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Fiscal Year</w:t>
            </w:r>
          </w:p>
        </w:tc>
        <w:tc>
          <w:tcPr>
            <w:tcW w:w="1269" w:type="dxa"/>
            <w:tcBorders>
              <w:top w:val="single" w:sz="12" w:space="0" w:color="auto"/>
              <w:left w:val="single" w:sz="6" w:space="0" w:color="auto"/>
              <w:bottom w:val="single" w:sz="6" w:space="0" w:color="auto"/>
              <w:right w:val="single" w:sz="6" w:space="0" w:color="auto"/>
            </w:tcBorders>
            <w:shd w:val="solid" w:color="FFFFFF" w:fill="auto"/>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Current Law</w:t>
            </w:r>
          </w:p>
        </w:tc>
        <w:tc>
          <w:tcPr>
            <w:tcW w:w="1152" w:type="dxa"/>
            <w:tcBorders>
              <w:top w:val="single" w:sz="12" w:space="0" w:color="auto"/>
              <w:left w:val="single" w:sz="6" w:space="0" w:color="auto"/>
              <w:bottom w:val="single" w:sz="6" w:space="0" w:color="auto"/>
              <w:right w:val="single" w:sz="6" w:space="0" w:color="auto"/>
            </w:tcBorders>
            <w:shd w:val="solid" w:color="FFFFFF" w:fill="auto"/>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 xml:space="preserve">Bill </w:t>
            </w:r>
          </w:p>
        </w:tc>
        <w:tc>
          <w:tcPr>
            <w:tcW w:w="1245" w:type="dxa"/>
            <w:tcBorders>
              <w:top w:val="single" w:sz="12" w:space="0" w:color="auto"/>
              <w:left w:val="single" w:sz="6" w:space="0" w:color="auto"/>
              <w:bottom w:val="single" w:sz="6" w:space="0" w:color="auto"/>
              <w:right w:val="single" w:sz="12" w:space="0" w:color="auto"/>
            </w:tcBorders>
            <w:shd w:val="solid" w:color="FFFFFF" w:fill="auto"/>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Net Impact: Bill - Current Law</w:t>
            </w:r>
          </w:p>
        </w:tc>
        <w:tc>
          <w:tcPr>
            <w:tcW w:w="253" w:type="dxa"/>
            <w:tcBorders>
              <w:top w:val="nil"/>
              <w:left w:val="nil"/>
              <w:bottom w:val="single" w:sz="6" w:space="0" w:color="auto"/>
              <w:right w:val="single" w:sz="12" w:space="0" w:color="auto"/>
            </w:tcBorders>
          </w:tcPr>
          <w:p w:rsidR="0059782E" w:rsidRDefault="0059782E" w:rsidP="0059782E">
            <w:pPr>
              <w:autoSpaceDE w:val="0"/>
              <w:autoSpaceDN w:val="0"/>
              <w:adjustRightInd w:val="0"/>
              <w:spacing w:line="240" w:lineRule="auto"/>
              <w:jc w:val="center"/>
              <w:rPr>
                <w:color w:val="000000"/>
                <w:sz w:val="20"/>
                <w:szCs w:val="20"/>
              </w:rPr>
            </w:pPr>
          </w:p>
        </w:tc>
        <w:tc>
          <w:tcPr>
            <w:tcW w:w="854" w:type="dxa"/>
            <w:tcBorders>
              <w:left w:val="single" w:sz="12" w:space="0" w:color="auto"/>
              <w:bottom w:val="single" w:sz="6" w:space="0" w:color="auto"/>
              <w:right w:val="single" w:sz="6" w:space="0" w:color="auto"/>
            </w:tcBorders>
            <w:shd w:val="solid" w:color="FFFFFF" w:fill="auto"/>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Fiscal Year</w:t>
            </w:r>
          </w:p>
        </w:tc>
        <w:tc>
          <w:tcPr>
            <w:tcW w:w="1260" w:type="dxa"/>
            <w:tcBorders>
              <w:left w:val="single" w:sz="6" w:space="0" w:color="auto"/>
              <w:bottom w:val="single" w:sz="6" w:space="0" w:color="auto"/>
              <w:right w:val="single" w:sz="6" w:space="0" w:color="auto"/>
            </w:tcBorders>
            <w:shd w:val="solid" w:color="FFFFFF" w:fill="auto"/>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Current Law</w:t>
            </w:r>
          </w:p>
        </w:tc>
        <w:tc>
          <w:tcPr>
            <w:tcW w:w="1250" w:type="dxa"/>
            <w:tcBorders>
              <w:top w:val="single" w:sz="12" w:space="0" w:color="auto"/>
              <w:left w:val="single" w:sz="6" w:space="0" w:color="auto"/>
              <w:bottom w:val="single" w:sz="6" w:space="0" w:color="auto"/>
              <w:right w:val="single" w:sz="6" w:space="0" w:color="auto"/>
            </w:tcBorders>
            <w:shd w:val="solid" w:color="FFFFFF" w:fill="auto"/>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Bill</w:t>
            </w:r>
          </w:p>
        </w:tc>
        <w:tc>
          <w:tcPr>
            <w:tcW w:w="1234" w:type="dxa"/>
            <w:tcBorders>
              <w:top w:val="single" w:sz="12" w:space="0" w:color="auto"/>
              <w:left w:val="single" w:sz="6" w:space="0" w:color="auto"/>
              <w:bottom w:val="single" w:sz="6" w:space="0" w:color="auto"/>
              <w:right w:val="single" w:sz="18" w:space="0" w:color="auto"/>
            </w:tcBorders>
            <w:shd w:val="solid" w:color="FFFFFF" w:fill="auto"/>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Net Impact: Bill - Current Law</w:t>
            </w:r>
          </w:p>
        </w:tc>
      </w:tr>
      <w:tr w:rsidR="0059782E" w:rsidTr="00BD7EE4">
        <w:trPr>
          <w:trHeight w:val="334"/>
          <w:jc w:val="center"/>
        </w:trPr>
        <w:tc>
          <w:tcPr>
            <w:tcW w:w="771" w:type="dxa"/>
            <w:tcBorders>
              <w:top w:val="single" w:sz="6" w:space="0" w:color="auto"/>
              <w:left w:val="single" w:sz="18" w:space="0" w:color="auto"/>
              <w:bottom w:val="single" w:sz="6" w:space="0" w:color="auto"/>
              <w:right w:val="single" w:sz="6" w:space="0" w:color="auto"/>
            </w:tcBorders>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2021</w:t>
            </w:r>
          </w:p>
        </w:tc>
        <w:tc>
          <w:tcPr>
            <w:tcW w:w="1269" w:type="dxa"/>
            <w:tcBorders>
              <w:top w:val="single" w:sz="6" w:space="0" w:color="auto"/>
              <w:left w:val="single" w:sz="6" w:space="0" w:color="auto"/>
              <w:bottom w:val="single" w:sz="6"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$62.7 - $69.3</w:t>
            </w:r>
          </w:p>
        </w:tc>
        <w:tc>
          <w:tcPr>
            <w:tcW w:w="1152" w:type="dxa"/>
            <w:tcBorders>
              <w:top w:val="single" w:sz="6" w:space="0" w:color="auto"/>
              <w:left w:val="single" w:sz="6" w:space="0" w:color="auto"/>
              <w:bottom w:val="single" w:sz="6" w:space="0" w:color="auto"/>
              <w:right w:val="single" w:sz="6" w:space="0" w:color="auto"/>
            </w:tcBorders>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$7.8 - $8.</w:t>
            </w:r>
            <w:r w:rsidR="00B74BC3">
              <w:rPr>
                <w:color w:val="000000"/>
                <w:sz w:val="20"/>
                <w:szCs w:val="20"/>
              </w:rPr>
              <w:t>2</w:t>
            </w:r>
          </w:p>
        </w:tc>
        <w:tc>
          <w:tcPr>
            <w:tcW w:w="1245" w:type="dxa"/>
            <w:tcBorders>
              <w:top w:val="single" w:sz="6" w:space="0" w:color="auto"/>
              <w:left w:val="single" w:sz="6" w:space="0" w:color="auto"/>
              <w:bottom w:val="single" w:sz="6" w:space="0" w:color="auto"/>
              <w:right w:val="single" w:sz="12" w:space="0" w:color="auto"/>
            </w:tcBorders>
          </w:tcPr>
          <w:p w:rsidR="0059782E" w:rsidRDefault="00B74BC3" w:rsidP="0059782E">
            <w:pPr>
              <w:autoSpaceDE w:val="0"/>
              <w:autoSpaceDN w:val="0"/>
              <w:adjustRightInd w:val="0"/>
              <w:spacing w:line="240" w:lineRule="auto"/>
              <w:jc w:val="center"/>
              <w:rPr>
                <w:color w:val="000000"/>
                <w:sz w:val="20"/>
                <w:szCs w:val="20"/>
              </w:rPr>
            </w:pPr>
            <w:r>
              <w:rPr>
                <w:color w:val="000000"/>
                <w:sz w:val="20"/>
                <w:szCs w:val="20"/>
              </w:rPr>
              <w:t>(</w:t>
            </w:r>
            <w:r w:rsidR="0059782E">
              <w:rPr>
                <w:color w:val="000000"/>
                <w:sz w:val="20"/>
                <w:szCs w:val="20"/>
              </w:rPr>
              <w:t xml:space="preserve">$54.9) </w:t>
            </w:r>
            <w:r>
              <w:rPr>
                <w:color w:val="000000"/>
                <w:sz w:val="20"/>
                <w:szCs w:val="20"/>
              </w:rPr>
              <w:t>–</w:t>
            </w:r>
            <w:r w:rsidR="0059782E">
              <w:rPr>
                <w:color w:val="000000"/>
                <w:sz w:val="20"/>
                <w:szCs w:val="20"/>
              </w:rPr>
              <w:t xml:space="preserve"> </w:t>
            </w:r>
            <w:r>
              <w:rPr>
                <w:color w:val="000000"/>
                <w:sz w:val="20"/>
                <w:szCs w:val="20"/>
              </w:rPr>
              <w:t>(</w:t>
            </w:r>
            <w:r w:rsidR="0059782E">
              <w:rPr>
                <w:color w:val="000000"/>
                <w:sz w:val="20"/>
                <w:szCs w:val="20"/>
              </w:rPr>
              <w:t>$60.6)</w:t>
            </w:r>
          </w:p>
        </w:tc>
        <w:tc>
          <w:tcPr>
            <w:tcW w:w="253" w:type="dxa"/>
            <w:tcBorders>
              <w:top w:val="single" w:sz="6" w:space="0" w:color="auto"/>
              <w:left w:val="nil"/>
              <w:bottom w:val="nil"/>
              <w:right w:val="nil"/>
            </w:tcBorders>
          </w:tcPr>
          <w:p w:rsidR="0059782E" w:rsidRDefault="0059782E" w:rsidP="0059782E">
            <w:pPr>
              <w:autoSpaceDE w:val="0"/>
              <w:autoSpaceDN w:val="0"/>
              <w:adjustRightInd w:val="0"/>
              <w:spacing w:line="240" w:lineRule="auto"/>
              <w:jc w:val="center"/>
              <w:rPr>
                <w:color w:val="000000"/>
                <w:sz w:val="20"/>
                <w:szCs w:val="20"/>
              </w:rPr>
            </w:pPr>
          </w:p>
        </w:tc>
        <w:tc>
          <w:tcPr>
            <w:tcW w:w="854" w:type="dxa"/>
            <w:tcBorders>
              <w:top w:val="single" w:sz="6" w:space="0" w:color="auto"/>
              <w:left w:val="single" w:sz="12" w:space="0" w:color="auto"/>
              <w:bottom w:val="single" w:sz="6" w:space="0" w:color="auto"/>
              <w:right w:val="single" w:sz="6" w:space="0" w:color="auto"/>
            </w:tcBorders>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2021</w:t>
            </w:r>
          </w:p>
        </w:tc>
        <w:tc>
          <w:tcPr>
            <w:tcW w:w="1260" w:type="dxa"/>
            <w:tcBorders>
              <w:left w:val="single" w:sz="6" w:space="0" w:color="auto"/>
              <w:bottom w:val="single" w:sz="6"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$64.6 - $71.5</w:t>
            </w:r>
          </w:p>
        </w:tc>
        <w:tc>
          <w:tcPr>
            <w:tcW w:w="1250" w:type="dxa"/>
            <w:tcBorders>
              <w:top w:val="single" w:sz="6" w:space="0" w:color="auto"/>
              <w:left w:val="single" w:sz="6" w:space="0" w:color="auto"/>
              <w:bottom w:val="single" w:sz="6" w:space="0" w:color="auto"/>
              <w:right w:val="single" w:sz="6" w:space="0" w:color="auto"/>
            </w:tcBorders>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$8.1 - $8.9</w:t>
            </w:r>
          </w:p>
        </w:tc>
        <w:tc>
          <w:tcPr>
            <w:tcW w:w="1234" w:type="dxa"/>
            <w:tcBorders>
              <w:top w:val="single" w:sz="6" w:space="0" w:color="auto"/>
              <w:left w:val="single" w:sz="6" w:space="0" w:color="auto"/>
              <w:bottom w:val="single" w:sz="6" w:space="0" w:color="auto"/>
              <w:right w:val="single" w:sz="18" w:space="0" w:color="auto"/>
            </w:tcBorders>
          </w:tcPr>
          <w:p w:rsidR="0059782E" w:rsidRDefault="00B74BC3" w:rsidP="0059782E">
            <w:pPr>
              <w:autoSpaceDE w:val="0"/>
              <w:autoSpaceDN w:val="0"/>
              <w:adjustRightInd w:val="0"/>
              <w:spacing w:line="240" w:lineRule="auto"/>
              <w:jc w:val="center"/>
              <w:rPr>
                <w:color w:val="000000"/>
                <w:sz w:val="20"/>
                <w:szCs w:val="20"/>
              </w:rPr>
            </w:pPr>
            <w:r>
              <w:rPr>
                <w:color w:val="000000"/>
                <w:sz w:val="20"/>
                <w:szCs w:val="20"/>
              </w:rPr>
              <w:t>(</w:t>
            </w:r>
            <w:r w:rsidR="0059782E">
              <w:rPr>
                <w:color w:val="000000"/>
                <w:sz w:val="20"/>
                <w:szCs w:val="20"/>
              </w:rPr>
              <w:t>$56.</w:t>
            </w:r>
            <w:r>
              <w:rPr>
                <w:color w:val="000000"/>
                <w:sz w:val="20"/>
                <w:szCs w:val="20"/>
              </w:rPr>
              <w:t>6</w:t>
            </w:r>
            <w:r w:rsidR="0059782E">
              <w:rPr>
                <w:color w:val="000000"/>
                <w:sz w:val="20"/>
                <w:szCs w:val="20"/>
              </w:rPr>
              <w:t xml:space="preserve">) </w:t>
            </w:r>
            <w:r>
              <w:rPr>
                <w:color w:val="000000"/>
                <w:sz w:val="20"/>
                <w:szCs w:val="20"/>
              </w:rPr>
              <w:t>–</w:t>
            </w:r>
            <w:r w:rsidR="0059782E">
              <w:rPr>
                <w:color w:val="000000"/>
                <w:sz w:val="20"/>
                <w:szCs w:val="20"/>
              </w:rPr>
              <w:t xml:space="preserve"> </w:t>
            </w:r>
            <w:r>
              <w:rPr>
                <w:color w:val="000000"/>
                <w:sz w:val="20"/>
                <w:szCs w:val="20"/>
              </w:rPr>
              <w:t>(</w:t>
            </w:r>
            <w:r w:rsidR="0059782E">
              <w:rPr>
                <w:color w:val="000000"/>
                <w:sz w:val="20"/>
                <w:szCs w:val="20"/>
              </w:rPr>
              <w:t>$62.</w:t>
            </w:r>
            <w:r w:rsidR="00662450">
              <w:rPr>
                <w:color w:val="000000"/>
                <w:sz w:val="20"/>
                <w:szCs w:val="20"/>
              </w:rPr>
              <w:t>5</w:t>
            </w:r>
            <w:r w:rsidR="0059782E">
              <w:rPr>
                <w:color w:val="000000"/>
                <w:sz w:val="20"/>
                <w:szCs w:val="20"/>
              </w:rPr>
              <w:t>)</w:t>
            </w:r>
          </w:p>
        </w:tc>
      </w:tr>
      <w:tr w:rsidR="0059782E" w:rsidTr="00BD7EE4">
        <w:trPr>
          <w:trHeight w:val="334"/>
          <w:jc w:val="center"/>
        </w:trPr>
        <w:tc>
          <w:tcPr>
            <w:tcW w:w="771" w:type="dxa"/>
            <w:tcBorders>
              <w:top w:val="single" w:sz="6" w:space="0" w:color="auto"/>
              <w:left w:val="single" w:sz="18" w:space="0" w:color="auto"/>
              <w:bottom w:val="single" w:sz="6" w:space="0" w:color="auto"/>
              <w:right w:val="single" w:sz="6" w:space="0" w:color="auto"/>
            </w:tcBorders>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2022</w:t>
            </w:r>
          </w:p>
        </w:tc>
        <w:tc>
          <w:tcPr>
            <w:tcW w:w="1269" w:type="dxa"/>
            <w:tcBorders>
              <w:top w:val="single" w:sz="6" w:space="0" w:color="auto"/>
              <w:left w:val="single" w:sz="6" w:space="0" w:color="auto"/>
              <w:bottom w:val="single" w:sz="6"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$63.8 - $70.5</w:t>
            </w:r>
          </w:p>
        </w:tc>
        <w:tc>
          <w:tcPr>
            <w:tcW w:w="1152" w:type="dxa"/>
            <w:tcBorders>
              <w:top w:val="single" w:sz="6" w:space="0" w:color="auto"/>
              <w:left w:val="single" w:sz="6" w:space="0" w:color="auto"/>
              <w:bottom w:val="single" w:sz="6"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$608.0 - $608.8</w:t>
            </w:r>
          </w:p>
        </w:tc>
        <w:tc>
          <w:tcPr>
            <w:tcW w:w="1245" w:type="dxa"/>
            <w:tcBorders>
              <w:top w:val="single" w:sz="6" w:space="0" w:color="auto"/>
              <w:left w:val="single" w:sz="6" w:space="0" w:color="auto"/>
              <w:bottom w:val="single" w:sz="6" w:space="0" w:color="auto"/>
              <w:right w:val="single" w:sz="12"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$506.2 - $559.5</w:t>
            </w:r>
          </w:p>
        </w:tc>
        <w:tc>
          <w:tcPr>
            <w:tcW w:w="253" w:type="dxa"/>
            <w:tcBorders>
              <w:top w:val="nil"/>
              <w:left w:val="nil"/>
              <w:bottom w:val="nil"/>
              <w:right w:val="nil"/>
            </w:tcBorders>
          </w:tcPr>
          <w:p w:rsidR="0059782E" w:rsidRDefault="0059782E" w:rsidP="0059782E">
            <w:pPr>
              <w:autoSpaceDE w:val="0"/>
              <w:autoSpaceDN w:val="0"/>
              <w:adjustRightInd w:val="0"/>
              <w:spacing w:line="240" w:lineRule="auto"/>
              <w:jc w:val="center"/>
              <w:rPr>
                <w:color w:val="000000"/>
                <w:sz w:val="20"/>
                <w:szCs w:val="20"/>
              </w:rPr>
            </w:pPr>
          </w:p>
        </w:tc>
        <w:tc>
          <w:tcPr>
            <w:tcW w:w="854" w:type="dxa"/>
            <w:tcBorders>
              <w:top w:val="single" w:sz="6" w:space="0" w:color="auto"/>
              <w:left w:val="single" w:sz="12" w:space="0" w:color="auto"/>
              <w:bottom w:val="single" w:sz="6" w:space="0" w:color="auto"/>
              <w:right w:val="single" w:sz="6" w:space="0" w:color="auto"/>
            </w:tcBorders>
            <w:vAlign w:val="center"/>
          </w:tcPr>
          <w:p w:rsidR="0059782E" w:rsidRDefault="0059782E" w:rsidP="00316873">
            <w:pPr>
              <w:autoSpaceDE w:val="0"/>
              <w:autoSpaceDN w:val="0"/>
              <w:adjustRightInd w:val="0"/>
              <w:spacing w:line="240" w:lineRule="auto"/>
              <w:jc w:val="center"/>
              <w:rPr>
                <w:color w:val="000000"/>
                <w:sz w:val="20"/>
                <w:szCs w:val="20"/>
              </w:rPr>
            </w:pPr>
            <w:r>
              <w:rPr>
                <w:color w:val="000000"/>
                <w:sz w:val="20"/>
                <w:szCs w:val="20"/>
              </w:rPr>
              <w:t>2022</w:t>
            </w:r>
          </w:p>
        </w:tc>
        <w:tc>
          <w:tcPr>
            <w:tcW w:w="1260" w:type="dxa"/>
            <w:tcBorders>
              <w:top w:val="single" w:sz="6" w:space="0" w:color="auto"/>
              <w:left w:val="single" w:sz="6" w:space="0" w:color="auto"/>
              <w:bottom w:val="single" w:sz="6"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$66.6 - $73.6</w:t>
            </w:r>
          </w:p>
        </w:tc>
        <w:tc>
          <w:tcPr>
            <w:tcW w:w="1250" w:type="dxa"/>
            <w:tcBorders>
              <w:top w:val="single" w:sz="6" w:space="0" w:color="auto"/>
              <w:left w:val="single" w:sz="6" w:space="0" w:color="auto"/>
              <w:bottom w:val="single" w:sz="6"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$608.3 - $609.2</w:t>
            </w:r>
          </w:p>
        </w:tc>
        <w:tc>
          <w:tcPr>
            <w:tcW w:w="1234" w:type="dxa"/>
            <w:tcBorders>
              <w:top w:val="single" w:sz="6" w:space="0" w:color="auto"/>
              <w:left w:val="single" w:sz="6" w:space="0" w:color="auto"/>
              <w:bottom w:val="single" w:sz="6" w:space="0" w:color="auto"/>
              <w:right w:val="single" w:sz="18"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$511.7 - $565.6</w:t>
            </w:r>
          </w:p>
        </w:tc>
      </w:tr>
      <w:tr w:rsidR="0059782E" w:rsidTr="00BD7EE4">
        <w:trPr>
          <w:trHeight w:val="334"/>
          <w:jc w:val="center"/>
        </w:trPr>
        <w:tc>
          <w:tcPr>
            <w:tcW w:w="771" w:type="dxa"/>
            <w:tcBorders>
              <w:top w:val="single" w:sz="6" w:space="0" w:color="auto"/>
              <w:left w:val="single" w:sz="18" w:space="0" w:color="auto"/>
              <w:bottom w:val="single" w:sz="18"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 xml:space="preserve">2023 </w:t>
            </w:r>
            <w:r w:rsidR="00C14B71">
              <w:rPr>
                <w:color w:val="000000"/>
                <w:sz w:val="20"/>
                <w:szCs w:val="20"/>
              </w:rPr>
              <w:t>–</w:t>
            </w:r>
            <w:r>
              <w:rPr>
                <w:color w:val="000000"/>
                <w:sz w:val="20"/>
                <w:szCs w:val="20"/>
              </w:rPr>
              <w:t xml:space="preserve"> 20</w:t>
            </w:r>
            <w:r w:rsidR="00C14B71">
              <w:rPr>
                <w:color w:val="000000"/>
                <w:sz w:val="20"/>
                <w:szCs w:val="20"/>
              </w:rPr>
              <w:t>39</w:t>
            </w:r>
          </w:p>
        </w:tc>
        <w:tc>
          <w:tcPr>
            <w:tcW w:w="1269" w:type="dxa"/>
            <w:tcBorders>
              <w:top w:val="nil"/>
              <w:left w:val="nil"/>
              <w:bottom w:val="single" w:sz="18" w:space="0" w:color="auto"/>
              <w:right w:val="nil"/>
            </w:tcBorders>
          </w:tcPr>
          <w:p w:rsidR="0059782E" w:rsidRDefault="00B74BC3" w:rsidP="0059782E">
            <w:pPr>
              <w:autoSpaceDE w:val="0"/>
              <w:autoSpaceDN w:val="0"/>
              <w:adjustRightInd w:val="0"/>
              <w:spacing w:line="240" w:lineRule="auto"/>
              <w:jc w:val="center"/>
              <w:rPr>
                <w:color w:val="000000"/>
                <w:sz w:val="20"/>
                <w:szCs w:val="20"/>
              </w:rPr>
            </w:pPr>
            <w:r>
              <w:rPr>
                <w:color w:val="000000"/>
                <w:sz w:val="20"/>
                <w:szCs w:val="20"/>
              </w:rPr>
              <w:t>$</w:t>
            </w:r>
            <w:r w:rsidR="0059782E">
              <w:rPr>
                <w:color w:val="000000"/>
                <w:sz w:val="20"/>
                <w:szCs w:val="20"/>
              </w:rPr>
              <w:t>1,</w:t>
            </w:r>
            <w:r>
              <w:rPr>
                <w:color w:val="000000"/>
                <w:sz w:val="20"/>
                <w:szCs w:val="20"/>
              </w:rPr>
              <w:t>520</w:t>
            </w:r>
            <w:r w:rsidR="0059782E">
              <w:rPr>
                <w:color w:val="000000"/>
                <w:sz w:val="20"/>
                <w:szCs w:val="20"/>
              </w:rPr>
              <w:t>.</w:t>
            </w:r>
            <w:r>
              <w:rPr>
                <w:color w:val="000000"/>
                <w:sz w:val="20"/>
                <w:szCs w:val="20"/>
              </w:rPr>
              <w:t>2</w:t>
            </w:r>
            <w:r w:rsidR="0059782E">
              <w:rPr>
                <w:color w:val="000000"/>
                <w:sz w:val="20"/>
                <w:szCs w:val="20"/>
              </w:rPr>
              <w:t xml:space="preserve"> - $1</w:t>
            </w:r>
            <w:r>
              <w:rPr>
                <w:color w:val="000000"/>
                <w:sz w:val="20"/>
                <w:szCs w:val="20"/>
              </w:rPr>
              <w:t>,680</w:t>
            </w:r>
            <w:r w:rsidR="0059782E">
              <w:rPr>
                <w:color w:val="000000"/>
                <w:sz w:val="20"/>
                <w:szCs w:val="20"/>
              </w:rPr>
              <w:t>.</w:t>
            </w:r>
            <w:r>
              <w:rPr>
                <w:color w:val="000000"/>
                <w:sz w:val="20"/>
                <w:szCs w:val="20"/>
              </w:rPr>
              <w:t>2</w:t>
            </w:r>
          </w:p>
        </w:tc>
        <w:tc>
          <w:tcPr>
            <w:tcW w:w="1152" w:type="dxa"/>
            <w:tcBorders>
              <w:top w:val="single" w:sz="6" w:space="0" w:color="auto"/>
              <w:left w:val="single" w:sz="6" w:space="0" w:color="auto"/>
              <w:bottom w:val="single" w:sz="18"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w:t>
            </w:r>
            <w:r w:rsidR="00B74BC3">
              <w:rPr>
                <w:color w:val="000000"/>
                <w:sz w:val="20"/>
                <w:szCs w:val="20"/>
              </w:rPr>
              <w:t>840</w:t>
            </w:r>
            <w:r>
              <w:rPr>
                <w:color w:val="000000"/>
                <w:sz w:val="20"/>
                <w:szCs w:val="20"/>
              </w:rPr>
              <w:t>.</w:t>
            </w:r>
            <w:r w:rsidR="00B74BC3">
              <w:rPr>
                <w:color w:val="000000"/>
                <w:sz w:val="20"/>
                <w:szCs w:val="20"/>
              </w:rPr>
              <w:t>0</w:t>
            </w:r>
            <w:r>
              <w:rPr>
                <w:color w:val="000000"/>
                <w:sz w:val="20"/>
                <w:szCs w:val="20"/>
              </w:rPr>
              <w:t xml:space="preserve"> - $</w:t>
            </w:r>
            <w:r w:rsidR="00B74BC3">
              <w:rPr>
                <w:color w:val="000000"/>
                <w:sz w:val="20"/>
                <w:szCs w:val="20"/>
              </w:rPr>
              <w:t>860</w:t>
            </w:r>
            <w:r>
              <w:rPr>
                <w:color w:val="000000"/>
                <w:sz w:val="20"/>
                <w:szCs w:val="20"/>
              </w:rPr>
              <w:t>.0</w:t>
            </w:r>
          </w:p>
        </w:tc>
        <w:tc>
          <w:tcPr>
            <w:tcW w:w="1245" w:type="dxa"/>
            <w:tcBorders>
              <w:top w:val="single" w:sz="6" w:space="0" w:color="auto"/>
              <w:left w:val="single" w:sz="6" w:space="0" w:color="auto"/>
              <w:bottom w:val="single" w:sz="18" w:space="0" w:color="auto"/>
              <w:right w:val="single" w:sz="12" w:space="0" w:color="auto"/>
            </w:tcBorders>
          </w:tcPr>
          <w:p w:rsidR="0059782E" w:rsidRDefault="00B74BC3" w:rsidP="0059782E">
            <w:pPr>
              <w:autoSpaceDE w:val="0"/>
              <w:autoSpaceDN w:val="0"/>
              <w:adjustRightInd w:val="0"/>
              <w:spacing w:line="240" w:lineRule="auto"/>
              <w:jc w:val="center"/>
              <w:rPr>
                <w:color w:val="000000"/>
                <w:sz w:val="20"/>
                <w:szCs w:val="20"/>
              </w:rPr>
            </w:pPr>
            <w:r>
              <w:rPr>
                <w:color w:val="000000"/>
                <w:sz w:val="20"/>
                <w:szCs w:val="20"/>
              </w:rPr>
              <w:t>(</w:t>
            </w:r>
            <w:r w:rsidR="0059782E">
              <w:rPr>
                <w:color w:val="000000"/>
                <w:sz w:val="20"/>
                <w:szCs w:val="20"/>
              </w:rPr>
              <w:t>$7</w:t>
            </w:r>
            <w:r>
              <w:rPr>
                <w:color w:val="000000"/>
                <w:sz w:val="20"/>
                <w:szCs w:val="20"/>
              </w:rPr>
              <w:t>12</w:t>
            </w:r>
            <w:r w:rsidR="0059782E">
              <w:rPr>
                <w:color w:val="000000"/>
                <w:sz w:val="20"/>
                <w:szCs w:val="20"/>
              </w:rPr>
              <w:t xml:space="preserve">.7) </w:t>
            </w:r>
            <w:r>
              <w:rPr>
                <w:color w:val="000000"/>
                <w:sz w:val="20"/>
                <w:szCs w:val="20"/>
              </w:rPr>
              <w:t>–</w:t>
            </w:r>
            <w:r w:rsidR="0059782E">
              <w:rPr>
                <w:color w:val="000000"/>
                <w:sz w:val="20"/>
                <w:szCs w:val="20"/>
              </w:rPr>
              <w:t xml:space="preserve"> </w:t>
            </w:r>
            <w:r>
              <w:rPr>
                <w:color w:val="000000"/>
                <w:sz w:val="20"/>
                <w:szCs w:val="20"/>
              </w:rPr>
              <w:t>(</w:t>
            </w:r>
            <w:r w:rsidR="0059782E">
              <w:rPr>
                <w:color w:val="000000"/>
                <w:sz w:val="20"/>
                <w:szCs w:val="20"/>
              </w:rPr>
              <w:t>$</w:t>
            </w:r>
            <w:r>
              <w:rPr>
                <w:color w:val="000000"/>
                <w:sz w:val="20"/>
                <w:szCs w:val="20"/>
              </w:rPr>
              <w:t>787</w:t>
            </w:r>
            <w:r w:rsidR="0059782E">
              <w:rPr>
                <w:color w:val="000000"/>
                <w:sz w:val="20"/>
                <w:szCs w:val="20"/>
              </w:rPr>
              <w:t>.</w:t>
            </w:r>
            <w:r>
              <w:rPr>
                <w:color w:val="000000"/>
                <w:sz w:val="20"/>
                <w:szCs w:val="20"/>
              </w:rPr>
              <w:t>7</w:t>
            </w:r>
            <w:r w:rsidR="0059782E">
              <w:rPr>
                <w:color w:val="000000"/>
                <w:sz w:val="20"/>
                <w:szCs w:val="20"/>
              </w:rPr>
              <w:t>)</w:t>
            </w:r>
          </w:p>
        </w:tc>
        <w:tc>
          <w:tcPr>
            <w:tcW w:w="253" w:type="dxa"/>
            <w:tcBorders>
              <w:top w:val="nil"/>
              <w:left w:val="nil"/>
              <w:bottom w:val="single" w:sz="18" w:space="0" w:color="auto"/>
              <w:right w:val="nil"/>
            </w:tcBorders>
          </w:tcPr>
          <w:p w:rsidR="0059782E" w:rsidRDefault="0059782E" w:rsidP="0059782E">
            <w:pPr>
              <w:autoSpaceDE w:val="0"/>
              <w:autoSpaceDN w:val="0"/>
              <w:adjustRightInd w:val="0"/>
              <w:spacing w:line="240" w:lineRule="auto"/>
              <w:jc w:val="center"/>
              <w:rPr>
                <w:color w:val="000000"/>
                <w:sz w:val="20"/>
                <w:szCs w:val="20"/>
              </w:rPr>
            </w:pPr>
          </w:p>
        </w:tc>
        <w:tc>
          <w:tcPr>
            <w:tcW w:w="854" w:type="dxa"/>
            <w:tcBorders>
              <w:top w:val="single" w:sz="6" w:space="0" w:color="auto"/>
              <w:left w:val="single" w:sz="12" w:space="0" w:color="auto"/>
              <w:bottom w:val="single" w:sz="18"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2023 - 20</w:t>
            </w:r>
            <w:r w:rsidR="00D475DE">
              <w:rPr>
                <w:color w:val="000000"/>
                <w:sz w:val="20"/>
                <w:szCs w:val="20"/>
              </w:rPr>
              <w:t>39</w:t>
            </w:r>
          </w:p>
        </w:tc>
        <w:tc>
          <w:tcPr>
            <w:tcW w:w="1260" w:type="dxa"/>
            <w:tcBorders>
              <w:top w:val="nil"/>
              <w:left w:val="nil"/>
              <w:bottom w:val="single" w:sz="18" w:space="0" w:color="auto"/>
              <w:right w:val="nil"/>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$1</w:t>
            </w:r>
            <w:r w:rsidR="00B74BC3">
              <w:rPr>
                <w:color w:val="000000"/>
                <w:sz w:val="20"/>
                <w:szCs w:val="20"/>
              </w:rPr>
              <w:t>,665</w:t>
            </w:r>
            <w:r>
              <w:rPr>
                <w:color w:val="000000"/>
                <w:sz w:val="20"/>
                <w:szCs w:val="20"/>
              </w:rPr>
              <w:t>.</w:t>
            </w:r>
            <w:r w:rsidR="00B74BC3">
              <w:rPr>
                <w:color w:val="000000"/>
                <w:sz w:val="20"/>
                <w:szCs w:val="20"/>
              </w:rPr>
              <w:t>1</w:t>
            </w:r>
            <w:r>
              <w:rPr>
                <w:color w:val="000000"/>
                <w:sz w:val="20"/>
                <w:szCs w:val="20"/>
              </w:rPr>
              <w:t xml:space="preserve"> - $</w:t>
            </w:r>
            <w:r w:rsidR="00B74BC3">
              <w:rPr>
                <w:color w:val="000000"/>
                <w:sz w:val="20"/>
                <w:szCs w:val="20"/>
              </w:rPr>
              <w:t>1</w:t>
            </w:r>
            <w:r>
              <w:rPr>
                <w:color w:val="000000"/>
                <w:sz w:val="20"/>
                <w:szCs w:val="20"/>
              </w:rPr>
              <w:t>,</w:t>
            </w:r>
            <w:r w:rsidR="00B74BC3">
              <w:rPr>
                <w:color w:val="000000"/>
                <w:sz w:val="20"/>
                <w:szCs w:val="20"/>
              </w:rPr>
              <w:t>840</w:t>
            </w:r>
            <w:r>
              <w:rPr>
                <w:color w:val="000000"/>
                <w:sz w:val="20"/>
                <w:szCs w:val="20"/>
              </w:rPr>
              <w:t>.</w:t>
            </w:r>
            <w:r w:rsidR="00B74BC3">
              <w:rPr>
                <w:color w:val="000000"/>
                <w:sz w:val="20"/>
                <w:szCs w:val="20"/>
              </w:rPr>
              <w:t>4</w:t>
            </w:r>
          </w:p>
        </w:tc>
        <w:tc>
          <w:tcPr>
            <w:tcW w:w="1250" w:type="dxa"/>
            <w:tcBorders>
              <w:top w:val="single" w:sz="6" w:space="0" w:color="auto"/>
              <w:left w:val="single" w:sz="6" w:space="0" w:color="auto"/>
              <w:bottom w:val="single" w:sz="18" w:space="0" w:color="auto"/>
              <w:right w:val="single" w:sz="6" w:space="0" w:color="auto"/>
            </w:tcBorders>
          </w:tcPr>
          <w:p w:rsidR="0059782E" w:rsidRDefault="0059782E" w:rsidP="0059782E">
            <w:pPr>
              <w:autoSpaceDE w:val="0"/>
              <w:autoSpaceDN w:val="0"/>
              <w:adjustRightInd w:val="0"/>
              <w:spacing w:line="240" w:lineRule="auto"/>
              <w:jc w:val="center"/>
              <w:rPr>
                <w:color w:val="000000"/>
                <w:sz w:val="20"/>
                <w:szCs w:val="20"/>
              </w:rPr>
            </w:pPr>
            <w:r>
              <w:rPr>
                <w:color w:val="000000"/>
                <w:sz w:val="20"/>
                <w:szCs w:val="20"/>
              </w:rPr>
              <w:t>$</w:t>
            </w:r>
            <w:r w:rsidR="009E06D1">
              <w:rPr>
                <w:color w:val="000000"/>
                <w:sz w:val="20"/>
                <w:szCs w:val="20"/>
              </w:rPr>
              <w:t>858</w:t>
            </w:r>
            <w:r>
              <w:rPr>
                <w:color w:val="000000"/>
                <w:sz w:val="20"/>
                <w:szCs w:val="20"/>
              </w:rPr>
              <w:t>.</w:t>
            </w:r>
            <w:r w:rsidR="009E06D1">
              <w:rPr>
                <w:color w:val="000000"/>
                <w:sz w:val="20"/>
                <w:szCs w:val="20"/>
              </w:rPr>
              <w:t>1</w:t>
            </w:r>
            <w:r>
              <w:rPr>
                <w:color w:val="000000"/>
                <w:sz w:val="20"/>
                <w:szCs w:val="20"/>
              </w:rPr>
              <w:t xml:space="preserve"> - $</w:t>
            </w:r>
            <w:r w:rsidR="009E06D1">
              <w:rPr>
                <w:color w:val="000000"/>
                <w:sz w:val="20"/>
                <w:szCs w:val="20"/>
              </w:rPr>
              <w:t>880</w:t>
            </w:r>
            <w:r>
              <w:rPr>
                <w:color w:val="000000"/>
                <w:sz w:val="20"/>
                <w:szCs w:val="20"/>
              </w:rPr>
              <w:t>.</w:t>
            </w:r>
            <w:r w:rsidR="009E06D1">
              <w:rPr>
                <w:color w:val="000000"/>
                <w:sz w:val="20"/>
                <w:szCs w:val="20"/>
              </w:rPr>
              <w:t>1</w:t>
            </w:r>
          </w:p>
        </w:tc>
        <w:tc>
          <w:tcPr>
            <w:tcW w:w="1234" w:type="dxa"/>
            <w:tcBorders>
              <w:top w:val="single" w:sz="6" w:space="0" w:color="auto"/>
              <w:left w:val="single" w:sz="6" w:space="0" w:color="auto"/>
              <w:bottom w:val="single" w:sz="18" w:space="0" w:color="auto"/>
              <w:right w:val="single" w:sz="18" w:space="0" w:color="auto"/>
            </w:tcBorders>
          </w:tcPr>
          <w:p w:rsidR="0059782E" w:rsidRDefault="00B74BC3" w:rsidP="0059782E">
            <w:pPr>
              <w:autoSpaceDE w:val="0"/>
              <w:autoSpaceDN w:val="0"/>
              <w:adjustRightInd w:val="0"/>
              <w:spacing w:line="240" w:lineRule="auto"/>
              <w:jc w:val="center"/>
              <w:rPr>
                <w:color w:val="000000"/>
                <w:sz w:val="20"/>
                <w:szCs w:val="20"/>
              </w:rPr>
            </w:pPr>
            <w:r>
              <w:rPr>
                <w:color w:val="000000"/>
                <w:sz w:val="20"/>
                <w:szCs w:val="20"/>
              </w:rPr>
              <w:t>(</w:t>
            </w:r>
            <w:r w:rsidR="0059782E">
              <w:rPr>
                <w:color w:val="000000"/>
                <w:sz w:val="20"/>
                <w:szCs w:val="20"/>
              </w:rPr>
              <w:t>$</w:t>
            </w:r>
            <w:r w:rsidR="009E06D1">
              <w:rPr>
                <w:color w:val="000000"/>
                <w:sz w:val="20"/>
                <w:szCs w:val="20"/>
              </w:rPr>
              <w:t>839.5</w:t>
            </w:r>
            <w:r w:rsidR="0059782E">
              <w:rPr>
                <w:color w:val="000000"/>
                <w:sz w:val="20"/>
                <w:szCs w:val="20"/>
              </w:rPr>
              <w:t xml:space="preserve">) </w:t>
            </w:r>
            <w:r>
              <w:rPr>
                <w:color w:val="000000"/>
                <w:sz w:val="20"/>
                <w:szCs w:val="20"/>
              </w:rPr>
              <w:t>–</w:t>
            </w:r>
            <w:r w:rsidR="0059782E">
              <w:rPr>
                <w:color w:val="000000"/>
                <w:sz w:val="20"/>
                <w:szCs w:val="20"/>
              </w:rPr>
              <w:t xml:space="preserve"> </w:t>
            </w:r>
            <w:r>
              <w:rPr>
                <w:color w:val="000000"/>
                <w:sz w:val="20"/>
                <w:szCs w:val="20"/>
              </w:rPr>
              <w:t>(</w:t>
            </w:r>
            <w:r w:rsidR="0059782E">
              <w:rPr>
                <w:color w:val="000000"/>
                <w:sz w:val="20"/>
                <w:szCs w:val="20"/>
              </w:rPr>
              <w:t>$</w:t>
            </w:r>
            <w:r w:rsidR="009E06D1">
              <w:rPr>
                <w:color w:val="000000"/>
                <w:sz w:val="20"/>
                <w:szCs w:val="20"/>
              </w:rPr>
              <w:t>927</w:t>
            </w:r>
            <w:r w:rsidR="0059782E">
              <w:rPr>
                <w:color w:val="000000"/>
                <w:sz w:val="20"/>
                <w:szCs w:val="20"/>
              </w:rPr>
              <w:t>.</w:t>
            </w:r>
            <w:r w:rsidR="009E06D1">
              <w:rPr>
                <w:color w:val="000000"/>
                <w:sz w:val="20"/>
                <w:szCs w:val="20"/>
              </w:rPr>
              <w:t>9</w:t>
            </w:r>
            <w:r w:rsidR="0059782E">
              <w:rPr>
                <w:color w:val="000000"/>
                <w:sz w:val="20"/>
                <w:szCs w:val="20"/>
              </w:rPr>
              <w:t>)</w:t>
            </w:r>
          </w:p>
        </w:tc>
      </w:tr>
    </w:tbl>
    <w:p w:rsidR="00097967" w:rsidRDefault="00097967" w:rsidP="00662450">
      <w:pPr>
        <w:tabs>
          <w:tab w:val="left" w:pos="360"/>
          <w:tab w:val="left" w:pos="720"/>
          <w:tab w:val="left" w:pos="1440"/>
          <w:tab w:val="left" w:pos="2160"/>
          <w:tab w:val="left" w:pos="2880"/>
          <w:tab w:val="left" w:pos="3600"/>
          <w:tab w:val="left" w:pos="4320"/>
          <w:tab w:val="left" w:pos="5040"/>
        </w:tabs>
      </w:pPr>
    </w:p>
    <w:p w:rsidR="00707533" w:rsidRDefault="00707533" w:rsidP="00707533">
      <w:pPr>
        <w:tabs>
          <w:tab w:val="left" w:pos="360"/>
          <w:tab w:val="left" w:pos="720"/>
          <w:tab w:val="left" w:pos="1440"/>
          <w:tab w:val="left" w:pos="2160"/>
          <w:tab w:val="left" w:pos="2880"/>
          <w:tab w:val="left" w:pos="3600"/>
          <w:tab w:val="left" w:pos="4320"/>
          <w:tab w:val="left" w:pos="5040"/>
        </w:tabs>
      </w:pPr>
      <w:r>
        <w:tab/>
        <w:t xml:space="preserve">First, </w:t>
      </w:r>
      <w:r w:rsidR="00426BEF">
        <w:t>as shown in the table,</w:t>
      </w:r>
      <w:r w:rsidR="00185259">
        <w:t xml:space="preserve"> under both scenarios combined,</w:t>
      </w:r>
      <w:r w:rsidR="00426BEF">
        <w:t xml:space="preserve"> </w:t>
      </w:r>
      <w:r>
        <w:t>the OLS estimates that the bill will decrease State insurance pre</w:t>
      </w:r>
      <w:r w:rsidR="00185259">
        <w:t xml:space="preserve">miums tax collections </w:t>
      </w:r>
      <w:r w:rsidR="000D1191">
        <w:t>by</w:t>
      </w:r>
      <w:r w:rsidR="00185259">
        <w:t xml:space="preserve"> at le</w:t>
      </w:r>
      <w:r w:rsidR="00662450">
        <w:t>a</w:t>
      </w:r>
      <w:r w:rsidR="00185259">
        <w:t>st</w:t>
      </w:r>
      <w:r>
        <w:t xml:space="preserve"> $54.9 million and</w:t>
      </w:r>
      <w:r w:rsidR="00185259">
        <w:t xml:space="preserve"> at most</w:t>
      </w:r>
      <w:r>
        <w:t xml:space="preserve"> $62.</w:t>
      </w:r>
      <w:r w:rsidR="00662450">
        <w:t>5</w:t>
      </w:r>
      <w:r>
        <w:t xml:space="preserve"> million </w:t>
      </w:r>
      <w:r w:rsidR="00486F97">
        <w:t>in</w:t>
      </w:r>
      <w:r>
        <w:t xml:space="preserve"> FY 2021</w:t>
      </w:r>
      <w:r w:rsidR="00662450">
        <w:t>, assuming that the reorganization will already affect insurance premium tax payments that are due and payable in March and June of 2021</w:t>
      </w:r>
      <w:r>
        <w:t xml:space="preserve">.  </w:t>
      </w:r>
    </w:p>
    <w:p w:rsidR="00707533" w:rsidRDefault="00707533" w:rsidP="00707533">
      <w:pPr>
        <w:tabs>
          <w:tab w:val="left" w:pos="360"/>
          <w:tab w:val="left" w:pos="720"/>
          <w:tab w:val="left" w:pos="1440"/>
          <w:tab w:val="left" w:pos="2160"/>
          <w:tab w:val="left" w:pos="2880"/>
          <w:tab w:val="left" w:pos="3600"/>
          <w:tab w:val="left" w:pos="4320"/>
          <w:tab w:val="left" w:pos="5040"/>
        </w:tabs>
      </w:pPr>
      <w:r>
        <w:tab/>
        <w:t xml:space="preserve">Second, the bill </w:t>
      </w:r>
      <w:r w:rsidR="00662450">
        <w:t>imposes</w:t>
      </w:r>
      <w:r>
        <w:t xml:space="preserve"> a one-time $600.0 million assessment on Horizon B</w:t>
      </w:r>
      <w:r w:rsidR="005025F7">
        <w:t xml:space="preserve">lue </w:t>
      </w:r>
      <w:r>
        <w:t>C</w:t>
      </w:r>
      <w:r w:rsidR="005025F7">
        <w:t xml:space="preserve">ross </w:t>
      </w:r>
      <w:r>
        <w:t>B</w:t>
      </w:r>
      <w:r w:rsidR="005025F7">
        <w:t xml:space="preserve">lue </w:t>
      </w:r>
      <w:r>
        <w:t>S</w:t>
      </w:r>
      <w:r w:rsidR="005025F7">
        <w:t xml:space="preserve">hield of </w:t>
      </w:r>
      <w:r>
        <w:t>N</w:t>
      </w:r>
      <w:r w:rsidR="005025F7">
        <w:t xml:space="preserve">ew </w:t>
      </w:r>
      <w:r>
        <w:t>J</w:t>
      </w:r>
      <w:r w:rsidR="005025F7">
        <w:t>ersey</w:t>
      </w:r>
      <w:r w:rsidR="00662450">
        <w:t xml:space="preserve"> payable </w:t>
      </w:r>
      <w:r>
        <w:t xml:space="preserve">to the Department of the Treasury on June 1, 2022, provided that the </w:t>
      </w:r>
      <w:r w:rsidR="00662450">
        <w:t>reorganization takes effect before</w:t>
      </w:r>
      <w:r>
        <w:t xml:space="preserve"> June 1, 2022.  Therefore, the OLS estimates that the bill will likely result in a net increase in State revenues by a range of $506.2 million and $565.6 million </w:t>
      </w:r>
      <w:r w:rsidR="00486F97">
        <w:t>in</w:t>
      </w:r>
      <w:r>
        <w:t xml:space="preserve"> FY 2022</w:t>
      </w:r>
      <w:r w:rsidR="000D1191">
        <w:t xml:space="preserve"> after subtracting the projected revenue loss from reduced insurance premium tax liabilities</w:t>
      </w:r>
      <w:r>
        <w:t xml:space="preserve">.  </w:t>
      </w:r>
    </w:p>
    <w:p w:rsidR="00707533" w:rsidRDefault="00707533" w:rsidP="00707533">
      <w:pPr>
        <w:tabs>
          <w:tab w:val="left" w:pos="360"/>
          <w:tab w:val="left" w:pos="720"/>
          <w:tab w:val="left" w:pos="1440"/>
          <w:tab w:val="left" w:pos="2160"/>
          <w:tab w:val="left" w:pos="2880"/>
          <w:tab w:val="left" w:pos="3600"/>
          <w:tab w:val="left" w:pos="4320"/>
          <w:tab w:val="left" w:pos="5040"/>
        </w:tabs>
      </w:pPr>
      <w:r>
        <w:tab/>
        <w:t xml:space="preserve">Third, the OLS further </w:t>
      </w:r>
      <w:r w:rsidR="001E763C">
        <w:t>forecasts</w:t>
      </w:r>
      <w:r>
        <w:t xml:space="preserve"> that</w:t>
      </w:r>
      <w:r w:rsidR="000D1191">
        <w:t xml:space="preserve"> </w:t>
      </w:r>
      <w:r>
        <w:t xml:space="preserve">for fiscal </w:t>
      </w:r>
      <w:r w:rsidRPr="00150AF5">
        <w:t>years 2023 to 20</w:t>
      </w:r>
      <w:r w:rsidR="001E763C" w:rsidRPr="00150AF5">
        <w:t>39</w:t>
      </w:r>
      <w:r w:rsidRPr="00150AF5">
        <w:t xml:space="preserve">, the potential combined </w:t>
      </w:r>
      <w:r w:rsidR="00832A4D" w:rsidRPr="00150AF5">
        <w:t xml:space="preserve">net </w:t>
      </w:r>
      <w:r w:rsidRPr="00150AF5">
        <w:t>revenue loss to the State may be between $</w:t>
      </w:r>
      <w:r w:rsidR="009E06D1" w:rsidRPr="00150AF5">
        <w:t>712.7</w:t>
      </w:r>
      <w:r w:rsidRPr="00150AF5">
        <w:t xml:space="preserve"> </w:t>
      </w:r>
      <w:r w:rsidR="009E06D1" w:rsidRPr="00150AF5">
        <w:t>m</w:t>
      </w:r>
      <w:r w:rsidRPr="00150AF5">
        <w:t>illion and $</w:t>
      </w:r>
      <w:r w:rsidR="009E06D1" w:rsidRPr="00150AF5">
        <w:t>927.9</w:t>
      </w:r>
      <w:r w:rsidRPr="00150AF5">
        <w:t xml:space="preserve"> </w:t>
      </w:r>
      <w:r w:rsidR="009E06D1" w:rsidRPr="00150AF5">
        <w:t>m</w:t>
      </w:r>
      <w:r w:rsidRPr="00150AF5">
        <w:t>illion.</w:t>
      </w:r>
      <w:r w:rsidR="00784AC6" w:rsidRPr="00150AF5">
        <w:t xml:space="preserve">  The</w:t>
      </w:r>
      <w:r w:rsidR="00784AC6">
        <w:t xml:space="preserve"> OLS opts for FY 2039 as the endpoint of its range because FY 2039 will</w:t>
      </w:r>
      <w:r w:rsidR="00090685">
        <w:t xml:space="preserve"> likely</w:t>
      </w:r>
      <w:r w:rsidR="00784AC6">
        <w:t xml:space="preserve"> be the last year in which the mutual holding company w</w:t>
      </w:r>
      <w:r w:rsidR="000D1191">
        <w:t>ill</w:t>
      </w:r>
      <w:r w:rsidR="00784AC6">
        <w:t xml:space="preserve"> pay an assessment to the State.  Starting in FY 2040, the bill’s sole fiscal impact will be an annual loss in insurance premium tax revenue. </w:t>
      </w:r>
      <w:r>
        <w:t xml:space="preserve">   </w:t>
      </w:r>
    </w:p>
    <w:p w:rsidR="00CD7AF0" w:rsidRDefault="00784AC6" w:rsidP="00CD7AF0">
      <w:pPr>
        <w:tabs>
          <w:tab w:val="left" w:pos="360"/>
          <w:tab w:val="left" w:pos="720"/>
          <w:tab w:val="left" w:pos="1440"/>
          <w:tab w:val="left" w:pos="2160"/>
          <w:tab w:val="left" w:pos="2880"/>
          <w:tab w:val="left" w:pos="3600"/>
          <w:tab w:val="left" w:pos="4320"/>
          <w:tab w:val="left" w:pos="5040"/>
        </w:tabs>
      </w:pPr>
      <w:r>
        <w:tab/>
        <w:t xml:space="preserve">The table below shows </w:t>
      </w:r>
      <w:r w:rsidR="00A80515">
        <w:t>a</w:t>
      </w:r>
      <w:r>
        <w:t xml:space="preserve"> </w:t>
      </w:r>
      <w:r w:rsidR="00A80515">
        <w:t>forecast</w:t>
      </w:r>
      <w:r>
        <w:t xml:space="preserve"> of the impact of the bill on State revenue collections per fiscal year from FY 2021 through FY 2042 using the midpoint estimates of scenario 1 above.  </w:t>
      </w:r>
      <w:r w:rsidR="00CD7AF0">
        <w:br w:type="page"/>
      </w:r>
    </w:p>
    <w:tbl>
      <w:tblPr>
        <w:tblW w:w="935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38"/>
        <w:gridCol w:w="1552"/>
        <w:gridCol w:w="1530"/>
        <w:gridCol w:w="1620"/>
        <w:gridCol w:w="1710"/>
        <w:gridCol w:w="1800"/>
      </w:tblGrid>
      <w:tr w:rsidR="00F11F17" w:rsidRPr="00F11F17" w:rsidTr="006C61CF">
        <w:trPr>
          <w:trHeight w:val="564"/>
        </w:trPr>
        <w:tc>
          <w:tcPr>
            <w:tcW w:w="9350" w:type="dxa"/>
            <w:gridSpan w:val="6"/>
            <w:tcBorders>
              <w:top w:val="single" w:sz="18" w:space="0" w:color="auto"/>
              <w:bottom w:val="single" w:sz="18" w:space="0" w:color="auto"/>
            </w:tcBorders>
            <w:shd w:val="clear" w:color="auto" w:fill="auto"/>
            <w:noWrap/>
            <w:vAlign w:val="center"/>
            <w:hideMark/>
          </w:tcPr>
          <w:p w:rsidR="00F11F17" w:rsidRPr="00F11F17" w:rsidRDefault="00F11F17" w:rsidP="00F11F17">
            <w:pPr>
              <w:spacing w:line="240" w:lineRule="auto"/>
              <w:jc w:val="center"/>
              <w:rPr>
                <w:b/>
                <w:bCs/>
                <w:color w:val="000000"/>
                <w:sz w:val="22"/>
                <w:szCs w:val="22"/>
              </w:rPr>
            </w:pPr>
            <w:r w:rsidRPr="00F11F17">
              <w:rPr>
                <w:b/>
                <w:bCs/>
                <w:color w:val="000000"/>
                <w:sz w:val="22"/>
                <w:szCs w:val="22"/>
              </w:rPr>
              <w:lastRenderedPageBreak/>
              <w:t>Estimated State Revenue Impact per Fiscal Year, FY 2021 through FY 2042</w:t>
            </w:r>
          </w:p>
        </w:tc>
      </w:tr>
      <w:tr w:rsidR="00F11F17" w:rsidRPr="00F11F17" w:rsidTr="006C61CF">
        <w:trPr>
          <w:trHeight w:val="1272"/>
        </w:trPr>
        <w:tc>
          <w:tcPr>
            <w:tcW w:w="1138" w:type="dxa"/>
            <w:tcBorders>
              <w:top w:val="single" w:sz="18" w:space="0" w:color="auto"/>
              <w:bottom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center"/>
              <w:rPr>
                <w:b/>
                <w:bCs/>
                <w:color w:val="000000"/>
                <w:sz w:val="20"/>
                <w:szCs w:val="20"/>
              </w:rPr>
            </w:pPr>
            <w:r w:rsidRPr="00F11F17">
              <w:rPr>
                <w:b/>
                <w:bCs/>
                <w:color w:val="000000"/>
                <w:sz w:val="20"/>
                <w:szCs w:val="20"/>
              </w:rPr>
              <w:t>Fiscal Year</w:t>
            </w:r>
          </w:p>
        </w:tc>
        <w:tc>
          <w:tcPr>
            <w:tcW w:w="1552" w:type="dxa"/>
            <w:tcBorders>
              <w:top w:val="single" w:sz="18" w:space="0" w:color="auto"/>
              <w:left w:val="single" w:sz="8" w:space="0" w:color="auto"/>
              <w:bottom w:val="single" w:sz="8" w:space="0" w:color="auto"/>
              <w:right w:val="single" w:sz="8" w:space="0" w:color="auto"/>
            </w:tcBorders>
            <w:shd w:val="clear" w:color="auto" w:fill="auto"/>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Current Law: Insurance Premium Tax Revenue</w:t>
            </w:r>
          </w:p>
        </w:tc>
        <w:tc>
          <w:tcPr>
            <w:tcW w:w="1530" w:type="dxa"/>
            <w:tcBorders>
              <w:top w:val="single" w:sz="18" w:space="0" w:color="auto"/>
              <w:left w:val="single" w:sz="8" w:space="0" w:color="auto"/>
              <w:bottom w:val="single" w:sz="8" w:space="0" w:color="auto"/>
            </w:tcBorders>
            <w:shd w:val="clear" w:color="auto" w:fill="auto"/>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Bill: Insurance Premium Tax Revenue</w:t>
            </w:r>
          </w:p>
        </w:tc>
        <w:tc>
          <w:tcPr>
            <w:tcW w:w="1620" w:type="dxa"/>
            <w:tcBorders>
              <w:top w:val="single" w:sz="18" w:space="0" w:color="auto"/>
              <w:bottom w:val="single" w:sz="8" w:space="0" w:color="auto"/>
            </w:tcBorders>
            <w:shd w:val="clear" w:color="auto" w:fill="auto"/>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Bill: Assessment Revenue</w:t>
            </w:r>
          </w:p>
        </w:tc>
        <w:tc>
          <w:tcPr>
            <w:tcW w:w="1710" w:type="dxa"/>
            <w:tcBorders>
              <w:top w:val="single" w:sz="18" w:space="0" w:color="auto"/>
              <w:bottom w:val="single" w:sz="8" w:space="0" w:color="auto"/>
              <w:right w:val="single" w:sz="8" w:space="0" w:color="auto"/>
            </w:tcBorders>
            <w:shd w:val="clear" w:color="auto" w:fill="auto"/>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Bill:  Total Revenue</w:t>
            </w:r>
          </w:p>
        </w:tc>
        <w:tc>
          <w:tcPr>
            <w:tcW w:w="1800" w:type="dxa"/>
            <w:tcBorders>
              <w:top w:val="single" w:sz="18" w:space="0" w:color="auto"/>
              <w:left w:val="single" w:sz="8" w:space="0" w:color="auto"/>
              <w:bottom w:val="single" w:sz="8" w:space="0" w:color="auto"/>
            </w:tcBorders>
            <w:shd w:val="clear" w:color="auto" w:fill="auto"/>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Net State Revenue Impact:  Bill Revenue Minus Current Law Revenue</w:t>
            </w:r>
          </w:p>
        </w:tc>
      </w:tr>
      <w:tr w:rsidR="00F11F17" w:rsidRPr="00F11F17" w:rsidTr="006C61CF">
        <w:trPr>
          <w:trHeight w:val="288"/>
        </w:trPr>
        <w:tc>
          <w:tcPr>
            <w:tcW w:w="1138" w:type="dxa"/>
            <w:tcBorders>
              <w:top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2021</w:t>
            </w:r>
          </w:p>
        </w:tc>
        <w:tc>
          <w:tcPr>
            <w:tcW w:w="1552" w:type="dxa"/>
            <w:tcBorders>
              <w:top w:val="single" w:sz="8" w:space="0" w:color="auto"/>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$68,049,010</w:t>
            </w:r>
          </w:p>
        </w:tc>
        <w:tc>
          <w:tcPr>
            <w:tcW w:w="1530" w:type="dxa"/>
            <w:tcBorders>
              <w:top w:val="single" w:sz="8" w:space="0" w:color="auto"/>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$8,506,126</w:t>
            </w:r>
          </w:p>
        </w:tc>
        <w:tc>
          <w:tcPr>
            <w:tcW w:w="1620" w:type="dxa"/>
            <w:tcBorders>
              <w:top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$0</w:t>
            </w:r>
          </w:p>
        </w:tc>
        <w:tc>
          <w:tcPr>
            <w:tcW w:w="1710" w:type="dxa"/>
            <w:tcBorders>
              <w:top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$8,506,126</w:t>
            </w:r>
          </w:p>
        </w:tc>
        <w:tc>
          <w:tcPr>
            <w:tcW w:w="1800" w:type="dxa"/>
            <w:tcBorders>
              <w:top w:val="single" w:sz="8" w:space="0" w:color="auto"/>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-$59,542,883</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2022</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$70,111,058</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$8,763,882</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$600,000,000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$608,763,882</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$538,652,824</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2023</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$72,353,749</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$9,044,219</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$100,000,000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$109,044,219</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$36,690,470</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2024</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$74,791,187</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$9,348,898</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$34,348,898</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-$40,442,289</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2025</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$77,438,589</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$9,679,824</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$34,679,824</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-$42,758,766</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2026</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$80,312,371</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$10,039,046</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$35,039,046</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-$45,273,324</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2027</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$83,430,237</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$10,428,780</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$35,428,780</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-$48,001,458</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2028</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$86,811,289</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$10,851,411</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$35,851,411</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-$50,959,878</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2029</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$90,476,130</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$11,309,516</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$36,309,516</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-$54,166,613</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2030</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$94,446,983</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$11,805,873</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$36,805,873</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-$57,641,110</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2031</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$98,747,824</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$12,343,478</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$37,343,478</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-$61,404,346</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2032</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$103,404,513</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$12,925,564</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$37,925,564</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-$65,478,949</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2033</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$108,444,946</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$13,555,618</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$25,000,000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$38,555,618</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-$69,889,328</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2034</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$113,899,214</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$14,237,402</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$64,237,402</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-$49,661,812</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2035</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$119,799,776</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$14,974,972</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$64,974,972</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-$54,824,804</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2036</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$126,181,644</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$15,772,706</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$65,772,706</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-$60,408,939</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2037</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$133,082,589</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$16,635,324</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$66,635,324</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-$66,447,265</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2038</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$140,543,349</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$17,567,919</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$67,567,919</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-$72,975,431</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2039</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$148,607,872</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$18,575,984</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$50,000,000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$68,575,984</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-$80,031,888</w:t>
            </w:r>
          </w:p>
        </w:tc>
      </w:tr>
      <w:tr w:rsidR="00F11F17" w:rsidRPr="00F11F17" w:rsidTr="006C61CF">
        <w:trPr>
          <w:trHeight w:val="288"/>
        </w:trPr>
        <w:tc>
          <w:tcPr>
            <w:tcW w:w="1138" w:type="dxa"/>
            <w:tcBorders>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2040</w:t>
            </w:r>
          </w:p>
        </w:tc>
        <w:tc>
          <w:tcPr>
            <w:tcW w:w="1552" w:type="dxa"/>
            <w:tcBorders>
              <w:left w:val="single" w:sz="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$160,299,349</w:t>
            </w:r>
          </w:p>
        </w:tc>
        <w:tc>
          <w:tcPr>
            <w:tcW w:w="153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$20,037,419</w:t>
            </w:r>
          </w:p>
        </w:tc>
        <w:tc>
          <w:tcPr>
            <w:tcW w:w="1620" w:type="dxa"/>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$0</w:t>
            </w:r>
          </w:p>
        </w:tc>
        <w:tc>
          <w:tcPr>
            <w:tcW w:w="1710" w:type="dxa"/>
            <w:tcBorders>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$20,037,419</w:t>
            </w:r>
          </w:p>
        </w:tc>
        <w:tc>
          <w:tcPr>
            <w:tcW w:w="1800" w:type="dxa"/>
            <w:tcBorders>
              <w:lef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-$140,261,931</w:t>
            </w:r>
          </w:p>
        </w:tc>
      </w:tr>
      <w:tr w:rsidR="00F11F17" w:rsidRPr="00F11F17" w:rsidTr="006C61CF">
        <w:trPr>
          <w:trHeight w:val="288"/>
        </w:trPr>
        <w:tc>
          <w:tcPr>
            <w:tcW w:w="1138" w:type="dxa"/>
            <w:tcBorders>
              <w:bottom w:val="nil"/>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2041</w:t>
            </w:r>
          </w:p>
        </w:tc>
        <w:tc>
          <w:tcPr>
            <w:tcW w:w="1552" w:type="dxa"/>
            <w:tcBorders>
              <w:left w:val="single" w:sz="8" w:space="0" w:color="auto"/>
              <w:bottom w:val="nil"/>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$172,910,634</w:t>
            </w:r>
          </w:p>
        </w:tc>
        <w:tc>
          <w:tcPr>
            <w:tcW w:w="1530" w:type="dxa"/>
            <w:tcBorders>
              <w:left w:val="single" w:sz="8" w:space="0" w:color="auto"/>
              <w:bottom w:val="nil"/>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$21,613,829</w:t>
            </w:r>
          </w:p>
        </w:tc>
        <w:tc>
          <w:tcPr>
            <w:tcW w:w="1620" w:type="dxa"/>
            <w:tcBorders>
              <w:bottom w:val="nil"/>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$0</w:t>
            </w:r>
          </w:p>
        </w:tc>
        <w:tc>
          <w:tcPr>
            <w:tcW w:w="1710" w:type="dxa"/>
            <w:tcBorders>
              <w:bottom w:val="nil"/>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$21,613,829</w:t>
            </w:r>
          </w:p>
        </w:tc>
        <w:tc>
          <w:tcPr>
            <w:tcW w:w="1800" w:type="dxa"/>
            <w:tcBorders>
              <w:left w:val="single" w:sz="8" w:space="0" w:color="auto"/>
              <w:bottom w:val="nil"/>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-$151,296,805</w:t>
            </w:r>
          </w:p>
        </w:tc>
      </w:tr>
      <w:tr w:rsidR="00F11F17" w:rsidRPr="00F11F17" w:rsidTr="006C61CF">
        <w:trPr>
          <w:trHeight w:val="300"/>
        </w:trPr>
        <w:tc>
          <w:tcPr>
            <w:tcW w:w="1138" w:type="dxa"/>
            <w:tcBorders>
              <w:top w:val="nil"/>
              <w:bottom w:val="single" w:sz="18" w:space="0" w:color="auto"/>
              <w:right w:val="single" w:sz="8" w:space="0" w:color="auto"/>
            </w:tcBorders>
            <w:shd w:val="clear" w:color="auto" w:fill="auto"/>
            <w:noWrap/>
            <w:vAlign w:val="bottom"/>
            <w:hideMark/>
          </w:tcPr>
          <w:p w:rsidR="00F11F17" w:rsidRPr="00F11F17" w:rsidRDefault="00F11F17" w:rsidP="00F11F17">
            <w:pPr>
              <w:spacing w:line="240" w:lineRule="auto"/>
              <w:jc w:val="center"/>
              <w:rPr>
                <w:color w:val="000000"/>
                <w:sz w:val="20"/>
                <w:szCs w:val="20"/>
              </w:rPr>
            </w:pPr>
            <w:r w:rsidRPr="00F11F17">
              <w:rPr>
                <w:color w:val="000000"/>
                <w:sz w:val="20"/>
                <w:szCs w:val="20"/>
              </w:rPr>
              <w:t>2042</w:t>
            </w:r>
          </w:p>
        </w:tc>
        <w:tc>
          <w:tcPr>
            <w:tcW w:w="1552" w:type="dxa"/>
            <w:tcBorders>
              <w:top w:val="nil"/>
              <w:left w:val="single" w:sz="8" w:space="0" w:color="auto"/>
              <w:bottom w:val="single" w:sz="1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$186,514,091</w:t>
            </w:r>
          </w:p>
        </w:tc>
        <w:tc>
          <w:tcPr>
            <w:tcW w:w="1530" w:type="dxa"/>
            <w:tcBorders>
              <w:top w:val="nil"/>
              <w:left w:val="single" w:sz="8" w:space="0" w:color="auto"/>
              <w:bottom w:val="single" w:sz="1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$23,314,261</w:t>
            </w:r>
          </w:p>
        </w:tc>
        <w:tc>
          <w:tcPr>
            <w:tcW w:w="1620" w:type="dxa"/>
            <w:tcBorders>
              <w:top w:val="nil"/>
              <w:bottom w:val="single" w:sz="1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$0</w:t>
            </w:r>
          </w:p>
        </w:tc>
        <w:tc>
          <w:tcPr>
            <w:tcW w:w="1710" w:type="dxa"/>
            <w:tcBorders>
              <w:top w:val="nil"/>
              <w:bottom w:val="single" w:sz="1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color w:val="000000"/>
                <w:sz w:val="20"/>
                <w:szCs w:val="20"/>
              </w:rPr>
            </w:pPr>
            <w:r w:rsidRPr="00F11F17">
              <w:rPr>
                <w:color w:val="000000"/>
                <w:sz w:val="20"/>
                <w:szCs w:val="20"/>
              </w:rPr>
              <w:t>$23,314,261</w:t>
            </w:r>
          </w:p>
        </w:tc>
        <w:tc>
          <w:tcPr>
            <w:tcW w:w="1800" w:type="dxa"/>
            <w:tcBorders>
              <w:top w:val="nil"/>
              <w:left w:val="single" w:sz="8" w:space="0" w:color="auto"/>
              <w:bottom w:val="single" w:sz="1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-$163,199,830</w:t>
            </w:r>
          </w:p>
        </w:tc>
      </w:tr>
      <w:tr w:rsidR="00F11F17" w:rsidRPr="00F11F17" w:rsidTr="006C61CF">
        <w:trPr>
          <w:trHeight w:val="300"/>
        </w:trPr>
        <w:tc>
          <w:tcPr>
            <w:tcW w:w="1138" w:type="dxa"/>
            <w:tcBorders>
              <w:top w:val="single" w:sz="18" w:space="0" w:color="auto"/>
              <w:bottom w:val="single" w:sz="18" w:space="0" w:color="auto"/>
              <w:right w:val="single" w:sz="8" w:space="0" w:color="auto"/>
            </w:tcBorders>
            <w:shd w:val="clear" w:color="auto" w:fill="auto"/>
            <w:noWrap/>
            <w:vAlign w:val="bottom"/>
            <w:hideMark/>
          </w:tcPr>
          <w:p w:rsidR="00F11F17" w:rsidRPr="00F11F17" w:rsidRDefault="00F11F17" w:rsidP="00F11F17">
            <w:pPr>
              <w:spacing w:line="240" w:lineRule="auto"/>
              <w:jc w:val="center"/>
              <w:rPr>
                <w:b/>
                <w:bCs/>
                <w:color w:val="000000"/>
                <w:sz w:val="20"/>
                <w:szCs w:val="20"/>
              </w:rPr>
            </w:pPr>
            <w:r w:rsidRPr="00F11F17">
              <w:rPr>
                <w:b/>
                <w:bCs/>
                <w:color w:val="000000"/>
                <w:sz w:val="20"/>
                <w:szCs w:val="20"/>
              </w:rPr>
              <w:t>Total</w:t>
            </w:r>
          </w:p>
        </w:tc>
        <w:tc>
          <w:tcPr>
            <w:tcW w:w="1552" w:type="dxa"/>
            <w:tcBorders>
              <w:top w:val="single" w:sz="18" w:space="0" w:color="auto"/>
              <w:left w:val="single" w:sz="8" w:space="0" w:color="auto"/>
              <w:right w:val="single" w:sz="8" w:space="0" w:color="auto"/>
            </w:tcBorders>
            <w:shd w:val="clear" w:color="auto" w:fill="auto"/>
            <w:vAlign w:val="bottom"/>
            <w:hideMark/>
          </w:tcPr>
          <w:p w:rsidR="00F11F17" w:rsidRPr="00F11F17" w:rsidRDefault="00F11F17" w:rsidP="00F11F17">
            <w:pPr>
              <w:spacing w:line="240" w:lineRule="auto"/>
              <w:jc w:val="left"/>
              <w:rPr>
                <w:b/>
                <w:bCs/>
                <w:color w:val="000000"/>
                <w:sz w:val="20"/>
                <w:szCs w:val="20"/>
              </w:rPr>
            </w:pPr>
            <w:r w:rsidRPr="00F11F17">
              <w:rPr>
                <w:b/>
                <w:bCs/>
                <w:color w:val="000000"/>
                <w:sz w:val="20"/>
                <w:szCs w:val="20"/>
              </w:rPr>
              <w:t xml:space="preserve"> $2,410,656,406 </w:t>
            </w:r>
          </w:p>
        </w:tc>
        <w:tc>
          <w:tcPr>
            <w:tcW w:w="1530" w:type="dxa"/>
            <w:tcBorders>
              <w:top w:val="single" w:sz="18" w:space="0" w:color="auto"/>
              <w:left w:val="single" w:sz="8" w:space="0" w:color="auto"/>
              <w:bottom w:val="single" w:sz="1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$301,332,051</w:t>
            </w:r>
          </w:p>
        </w:tc>
        <w:tc>
          <w:tcPr>
            <w:tcW w:w="1620" w:type="dxa"/>
            <w:tcBorders>
              <w:top w:val="single" w:sz="1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$1,250,000,000</w:t>
            </w:r>
          </w:p>
        </w:tc>
        <w:tc>
          <w:tcPr>
            <w:tcW w:w="1710" w:type="dxa"/>
            <w:tcBorders>
              <w:top w:val="single" w:sz="18" w:space="0" w:color="auto"/>
              <w:right w:val="single" w:sz="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$1,551,332,051</w:t>
            </w:r>
          </w:p>
        </w:tc>
        <w:tc>
          <w:tcPr>
            <w:tcW w:w="1800" w:type="dxa"/>
            <w:tcBorders>
              <w:top w:val="single" w:sz="18" w:space="0" w:color="auto"/>
              <w:left w:val="single" w:sz="8" w:space="0" w:color="auto"/>
              <w:bottom w:val="single" w:sz="18" w:space="0" w:color="auto"/>
            </w:tcBorders>
            <w:shd w:val="clear" w:color="auto" w:fill="auto"/>
            <w:noWrap/>
            <w:vAlign w:val="bottom"/>
            <w:hideMark/>
          </w:tcPr>
          <w:p w:rsidR="00F11F17" w:rsidRPr="00F11F17" w:rsidRDefault="00F11F17" w:rsidP="00F11F17">
            <w:pPr>
              <w:spacing w:line="240" w:lineRule="auto"/>
              <w:jc w:val="right"/>
              <w:rPr>
                <w:b/>
                <w:bCs/>
                <w:color w:val="000000"/>
                <w:sz w:val="20"/>
                <w:szCs w:val="20"/>
              </w:rPr>
            </w:pPr>
            <w:r w:rsidRPr="00F11F17">
              <w:rPr>
                <w:b/>
                <w:bCs/>
                <w:color w:val="000000"/>
                <w:sz w:val="20"/>
                <w:szCs w:val="20"/>
              </w:rPr>
              <w:t>-$859,324,356</w:t>
            </w:r>
          </w:p>
        </w:tc>
      </w:tr>
    </w:tbl>
    <w:p w:rsidR="00F11F17" w:rsidRDefault="00F11F17" w:rsidP="00840364">
      <w:pPr>
        <w:tabs>
          <w:tab w:val="left" w:pos="360"/>
          <w:tab w:val="left" w:pos="720"/>
          <w:tab w:val="left" w:pos="1440"/>
          <w:tab w:val="left" w:pos="2160"/>
          <w:tab w:val="left" w:pos="2880"/>
          <w:tab w:val="left" w:pos="3600"/>
          <w:tab w:val="left" w:pos="4320"/>
          <w:tab w:val="left" w:pos="5040"/>
        </w:tabs>
      </w:pPr>
    </w:p>
    <w:p w:rsidR="005B3E6F" w:rsidRDefault="00784AC6" w:rsidP="00840364">
      <w:pPr>
        <w:tabs>
          <w:tab w:val="left" w:pos="360"/>
          <w:tab w:val="left" w:pos="720"/>
          <w:tab w:val="left" w:pos="1440"/>
          <w:tab w:val="left" w:pos="2160"/>
          <w:tab w:val="left" w:pos="2880"/>
          <w:tab w:val="left" w:pos="3600"/>
          <w:tab w:val="left" w:pos="4320"/>
          <w:tab w:val="left" w:pos="5040"/>
        </w:tabs>
      </w:pPr>
      <w:r>
        <w:tab/>
        <w:t xml:space="preserve">Additionally, the OLS notes that </w:t>
      </w:r>
      <w:r w:rsidR="00A80515">
        <w:t xml:space="preserve">the bill </w:t>
      </w:r>
      <w:r>
        <w:t>provide</w:t>
      </w:r>
      <w:r w:rsidR="00A80515">
        <w:t>s</w:t>
      </w:r>
      <w:r>
        <w:t xml:space="preserve"> that </w:t>
      </w:r>
      <w:r w:rsidR="00A80515">
        <w:t xml:space="preserve">if </w:t>
      </w:r>
      <w:r>
        <w:t xml:space="preserve">the mutual holding company continues to participate in the New Jersey Individual Health Coverage Program and the New Jersey Small Employer Health Benefits Program, </w:t>
      </w:r>
      <w:r w:rsidR="00FE4E50">
        <w:t>it</w:t>
      </w:r>
      <w:r>
        <w:t xml:space="preserve"> will continue to be exempt from all State, county, district, municipal, and school tax</w:t>
      </w:r>
      <w:r w:rsidR="00A80515">
        <w:t>es</w:t>
      </w:r>
      <w:r>
        <w:t xml:space="preserve"> other than taxes on real estate and equipment and taxes on premiums.  </w:t>
      </w:r>
      <w:r w:rsidR="00A80515">
        <w:t>I</w:t>
      </w:r>
      <w:r>
        <w:t xml:space="preserve">n the event that the company stops participating in either program, there will be an indeterminate increase in </w:t>
      </w:r>
      <w:r w:rsidR="00FE4E50">
        <w:t xml:space="preserve">annual </w:t>
      </w:r>
      <w:r>
        <w:t xml:space="preserve">State and local units’ tax collections.  Horizon </w:t>
      </w:r>
      <w:r w:rsidR="00685F7B">
        <w:t>Blue Cross Blue Shield of New Jersey</w:t>
      </w:r>
      <w:r>
        <w:t xml:space="preserve"> reported in </w:t>
      </w:r>
      <w:r w:rsidR="00A80515">
        <w:t>its</w:t>
      </w:r>
      <w:r>
        <w:t xml:space="preserve"> 2016 “Understanding </w:t>
      </w:r>
      <w:r w:rsidR="00FE4E50">
        <w:t>Reserves</w:t>
      </w:r>
      <w:r>
        <w:t xml:space="preserve">” </w:t>
      </w:r>
      <w:r w:rsidR="00A80515">
        <w:t>publication</w:t>
      </w:r>
      <w:r>
        <w:t xml:space="preserve"> that the company </w:t>
      </w:r>
      <w:r w:rsidR="00A80515">
        <w:t xml:space="preserve">saved </w:t>
      </w:r>
      <w:r>
        <w:t xml:space="preserve">$9.1 million </w:t>
      </w:r>
      <w:r w:rsidR="00A80515">
        <w:t>in</w:t>
      </w:r>
      <w:r>
        <w:t xml:space="preserve"> sales and use taxes and the Newark payroll tax</w:t>
      </w:r>
      <w:r w:rsidR="00A80515">
        <w:t xml:space="preserve">es </w:t>
      </w:r>
      <w:r w:rsidR="00FE4E50">
        <w:t xml:space="preserve">in 2016 </w:t>
      </w:r>
      <w:r w:rsidR="00A80515">
        <w:t>because of the exemption</w:t>
      </w:r>
      <w:r>
        <w:t>.</w:t>
      </w:r>
    </w:p>
    <w:p w:rsidR="005B3E6F" w:rsidRDefault="005B3E6F" w:rsidP="00840364">
      <w:pPr>
        <w:tabs>
          <w:tab w:val="left" w:pos="360"/>
          <w:tab w:val="left" w:pos="720"/>
          <w:tab w:val="left" w:pos="1440"/>
          <w:tab w:val="left" w:pos="2160"/>
          <w:tab w:val="left" w:pos="2880"/>
          <w:tab w:val="left" w:pos="3600"/>
          <w:tab w:val="left" w:pos="4320"/>
          <w:tab w:val="left" w:pos="5040"/>
        </w:tabs>
      </w:pPr>
    </w:p>
    <w:p w:rsidR="00840364" w:rsidRDefault="00840364" w:rsidP="00840364"/>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40364" w:rsidTr="006316CF">
        <w:trPr>
          <w:trHeight w:val="403"/>
        </w:trPr>
        <w:tc>
          <w:tcPr>
            <w:tcW w:w="1260" w:type="dxa"/>
            <w:tcBorders>
              <w:top w:val="nil"/>
              <w:left w:val="nil"/>
              <w:bottom w:val="nil"/>
              <w:right w:val="nil"/>
            </w:tcBorders>
          </w:tcPr>
          <w:p w:rsidR="00840364" w:rsidRDefault="00840364" w:rsidP="006316CF">
            <w:pPr>
              <w:pStyle w:val="10pointItalics"/>
              <w:rPr>
                <w:sz w:val="24"/>
              </w:rPr>
            </w:pPr>
            <w:r>
              <w:t>Section:</w:t>
            </w:r>
          </w:p>
        </w:tc>
        <w:tc>
          <w:tcPr>
            <w:tcW w:w="8100" w:type="dxa"/>
            <w:tcBorders>
              <w:top w:val="nil"/>
              <w:left w:val="nil"/>
              <w:bottom w:val="nil"/>
              <w:right w:val="nil"/>
            </w:tcBorders>
          </w:tcPr>
          <w:p w:rsidR="00840364" w:rsidRDefault="00840364" w:rsidP="006316CF">
            <w:pPr>
              <w:pStyle w:val="10pointItalics"/>
              <w:rPr>
                <w:sz w:val="24"/>
              </w:rPr>
            </w:pPr>
            <w:bookmarkStart w:id="2" w:name="Section"/>
            <w:r>
              <w:t>Commerce, Labor and Industry</w:t>
            </w:r>
            <w:bookmarkEnd w:id="2"/>
          </w:p>
        </w:tc>
      </w:tr>
      <w:tr w:rsidR="00840364" w:rsidTr="006316CF">
        <w:trPr>
          <w:trHeight w:val="403"/>
        </w:trPr>
        <w:tc>
          <w:tcPr>
            <w:tcW w:w="1260" w:type="dxa"/>
            <w:tcBorders>
              <w:top w:val="nil"/>
              <w:left w:val="nil"/>
              <w:bottom w:val="nil"/>
              <w:right w:val="nil"/>
            </w:tcBorders>
          </w:tcPr>
          <w:p w:rsidR="00840364" w:rsidRDefault="00840364" w:rsidP="006316CF">
            <w:pPr>
              <w:pStyle w:val="10pointItalics"/>
              <w:rPr>
                <w:sz w:val="24"/>
              </w:rPr>
            </w:pPr>
            <w:r>
              <w:t>Analyst:</w:t>
            </w:r>
          </w:p>
        </w:tc>
        <w:tc>
          <w:tcPr>
            <w:tcW w:w="8100" w:type="dxa"/>
            <w:tcBorders>
              <w:top w:val="nil"/>
              <w:left w:val="nil"/>
              <w:bottom w:val="nil"/>
              <w:right w:val="nil"/>
            </w:tcBorders>
          </w:tcPr>
          <w:p w:rsidR="00840364" w:rsidRDefault="00840364" w:rsidP="006316CF">
            <w:pPr>
              <w:pStyle w:val="10pointItalics"/>
            </w:pPr>
            <w:bookmarkStart w:id="3" w:name="UserFullName"/>
            <w:bookmarkEnd w:id="3"/>
            <w:r>
              <w:t>Juan C. Rodriguez</w:t>
            </w:r>
          </w:p>
          <w:p w:rsidR="00840364" w:rsidRDefault="00840364" w:rsidP="006316CF">
            <w:pPr>
              <w:pStyle w:val="10pointItalics"/>
              <w:rPr>
                <w:sz w:val="24"/>
              </w:rPr>
            </w:pPr>
            <w:r>
              <w:t>Senior Fiscal Analyst</w:t>
            </w:r>
          </w:p>
        </w:tc>
      </w:tr>
      <w:tr w:rsidR="00840364" w:rsidTr="006316CF">
        <w:trPr>
          <w:trHeight w:val="403"/>
        </w:trPr>
        <w:tc>
          <w:tcPr>
            <w:tcW w:w="1260" w:type="dxa"/>
            <w:tcBorders>
              <w:top w:val="nil"/>
              <w:left w:val="nil"/>
              <w:bottom w:val="nil"/>
              <w:right w:val="nil"/>
            </w:tcBorders>
            <w:tcMar>
              <w:top w:w="72" w:type="dxa"/>
            </w:tcMar>
          </w:tcPr>
          <w:p w:rsidR="00840364" w:rsidRDefault="00840364" w:rsidP="006316CF">
            <w:pPr>
              <w:pStyle w:val="10pointItalics"/>
              <w:rPr>
                <w:sz w:val="24"/>
              </w:rPr>
            </w:pPr>
            <w:r>
              <w:t>Approved:</w:t>
            </w:r>
          </w:p>
        </w:tc>
        <w:tc>
          <w:tcPr>
            <w:tcW w:w="8100" w:type="dxa"/>
            <w:tcBorders>
              <w:top w:val="nil"/>
              <w:left w:val="nil"/>
              <w:bottom w:val="nil"/>
              <w:right w:val="nil"/>
            </w:tcBorders>
            <w:tcMar>
              <w:top w:w="72" w:type="dxa"/>
            </w:tcMar>
          </w:tcPr>
          <w:p w:rsidR="00840364" w:rsidRDefault="00840364" w:rsidP="006316CF">
            <w:pPr>
              <w:pStyle w:val="10pointItalics"/>
            </w:pPr>
            <w:r>
              <w:t>Thomas Koenig</w:t>
            </w:r>
          </w:p>
          <w:p w:rsidR="00840364" w:rsidRDefault="00840364" w:rsidP="006316CF">
            <w:pPr>
              <w:pStyle w:val="10pointItalics"/>
              <w:rPr>
                <w:sz w:val="24"/>
              </w:rPr>
            </w:pPr>
            <w:r>
              <w:t>Assistant Legislative Budget and Finance Officer</w:t>
            </w:r>
          </w:p>
        </w:tc>
      </w:tr>
    </w:tbl>
    <w:p w:rsidR="00840364" w:rsidRDefault="00840364" w:rsidP="00EF17BC">
      <w:pPr>
        <w:tabs>
          <w:tab w:val="left" w:pos="360"/>
          <w:tab w:val="left" w:pos="720"/>
          <w:tab w:val="left" w:pos="1440"/>
          <w:tab w:val="left" w:pos="2160"/>
          <w:tab w:val="left" w:pos="2880"/>
          <w:tab w:val="left" w:pos="3600"/>
          <w:tab w:val="left" w:pos="4320"/>
          <w:tab w:val="left" w:pos="5040"/>
        </w:tabs>
      </w:pPr>
    </w:p>
    <w:p w:rsidR="00CD7AF0" w:rsidRDefault="00CD7AF0" w:rsidP="00EF17BC">
      <w:pPr>
        <w:tabs>
          <w:tab w:val="left" w:pos="360"/>
          <w:tab w:val="left" w:pos="720"/>
          <w:tab w:val="left" w:pos="1440"/>
          <w:tab w:val="left" w:pos="2160"/>
          <w:tab w:val="left" w:pos="2880"/>
          <w:tab w:val="left" w:pos="3600"/>
          <w:tab w:val="left" w:pos="4320"/>
          <w:tab w:val="left" w:pos="5040"/>
        </w:tabs>
      </w:pPr>
    </w:p>
    <w:p w:rsidR="00EF17BC" w:rsidRDefault="00C6249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6249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75F" w:rsidRDefault="001B375F">
      <w:r>
        <w:separator/>
      </w:r>
    </w:p>
  </w:endnote>
  <w:endnote w:type="continuationSeparator" w:id="0">
    <w:p w:rsidR="001B375F" w:rsidRDefault="001B3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6316CF">
      <w:trPr>
        <w:trHeight w:hRule="exact" w:val="144"/>
      </w:trPr>
      <w:tc>
        <w:tcPr>
          <w:tcW w:w="3084" w:type="dxa"/>
          <w:tcBorders>
            <w:bottom w:val="single" w:sz="12" w:space="0" w:color="auto"/>
          </w:tcBorders>
        </w:tcPr>
        <w:p w:rsidR="006316CF" w:rsidRDefault="006316CF" w:rsidP="001106B5">
          <w:pPr>
            <w:pStyle w:val="10pointItalics"/>
          </w:pPr>
        </w:p>
      </w:tc>
      <w:tc>
        <w:tcPr>
          <w:tcW w:w="2856" w:type="dxa"/>
          <w:tcBorders>
            <w:bottom w:val="single" w:sz="12" w:space="0" w:color="auto"/>
          </w:tcBorders>
        </w:tcPr>
        <w:p w:rsidR="006316CF" w:rsidRPr="001106B5" w:rsidRDefault="006316CF">
          <w:pPr>
            <w:pStyle w:val="Footer"/>
            <w:rPr>
              <w:noProof/>
              <w:sz w:val="20"/>
              <w:szCs w:val="20"/>
            </w:rPr>
          </w:pPr>
        </w:p>
      </w:tc>
      <w:tc>
        <w:tcPr>
          <w:tcW w:w="3420" w:type="dxa"/>
          <w:tcBorders>
            <w:bottom w:val="single" w:sz="12" w:space="0" w:color="auto"/>
          </w:tcBorders>
        </w:tcPr>
        <w:p w:rsidR="006316CF" w:rsidRDefault="006316CF" w:rsidP="001106B5">
          <w:pPr>
            <w:pStyle w:val="10pointItalics"/>
          </w:pPr>
        </w:p>
      </w:tc>
    </w:tr>
    <w:tr w:rsidR="006316CF" w:rsidRPr="00FA2934">
      <w:trPr>
        <w:trHeight w:val="887"/>
      </w:trPr>
      <w:tc>
        <w:tcPr>
          <w:tcW w:w="3084" w:type="dxa"/>
          <w:tcBorders>
            <w:top w:val="single" w:sz="12" w:space="0" w:color="auto"/>
          </w:tcBorders>
          <w:tcMar>
            <w:top w:w="29" w:type="dxa"/>
            <w:left w:w="115" w:type="dxa"/>
            <w:right w:w="115" w:type="dxa"/>
          </w:tcMar>
          <w:vAlign w:val="bottom"/>
        </w:tcPr>
        <w:p w:rsidR="006316CF" w:rsidRDefault="006316CF" w:rsidP="00125D26">
          <w:pPr>
            <w:pStyle w:val="10pointItalics"/>
            <w:jc w:val="center"/>
          </w:pPr>
          <w:r>
            <w:t>Office of Legislative Services</w:t>
          </w:r>
        </w:p>
        <w:p w:rsidR="006316CF" w:rsidRDefault="006316CF" w:rsidP="00125D26">
          <w:pPr>
            <w:pStyle w:val="10pointItalics"/>
            <w:jc w:val="center"/>
          </w:pPr>
          <w:r>
            <w:t>State House Annex</w:t>
          </w:r>
        </w:p>
        <w:p w:rsidR="006316CF" w:rsidRDefault="006316CF"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6316CF" w:rsidRDefault="006316CF"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rsidR="006316CF" w:rsidRDefault="0038416B">
          <w:pPr>
            <w:pStyle w:val="Footer"/>
          </w:pPr>
          <w:r>
            <w:rPr>
              <w:noProof/>
              <w:sz w:val="20"/>
              <w:szCs w:val="20"/>
            </w:rPr>
            <w:object w:dxaOrig="1440" w:dyaOrig="1440" w14:anchorId="29DB05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229177" r:id="rId2"/>
            </w:object>
          </w:r>
        </w:p>
      </w:tc>
      <w:tc>
        <w:tcPr>
          <w:tcW w:w="3420" w:type="dxa"/>
          <w:tcBorders>
            <w:top w:val="single" w:sz="12" w:space="0" w:color="auto"/>
          </w:tcBorders>
          <w:tcMar>
            <w:top w:w="29" w:type="dxa"/>
            <w:left w:w="115" w:type="dxa"/>
            <w:right w:w="115" w:type="dxa"/>
          </w:tcMar>
          <w:vAlign w:val="bottom"/>
        </w:tcPr>
        <w:p w:rsidR="006316CF" w:rsidRDefault="006316CF" w:rsidP="00125D26">
          <w:pPr>
            <w:pStyle w:val="10pointItalics"/>
            <w:jc w:val="center"/>
          </w:pPr>
          <w:r>
            <w:t>Legislative Budget and Finance Office</w:t>
          </w:r>
        </w:p>
        <w:p w:rsidR="006316CF" w:rsidRDefault="006316CF" w:rsidP="00125D26">
          <w:pPr>
            <w:pStyle w:val="10pointItalics"/>
            <w:jc w:val="center"/>
          </w:pPr>
          <w:r>
            <w:t>Phone (609) 847-3105</w:t>
          </w:r>
        </w:p>
        <w:p w:rsidR="006316CF" w:rsidRPr="00FA2934" w:rsidRDefault="006316CF" w:rsidP="00125D26">
          <w:pPr>
            <w:pStyle w:val="10pointItalics"/>
            <w:jc w:val="center"/>
            <w:rPr>
              <w:lang w:val="fr-FR"/>
            </w:rPr>
          </w:pPr>
          <w:r w:rsidRPr="00FA2934">
            <w:rPr>
              <w:lang w:val="fr-FR"/>
            </w:rPr>
            <w:t>Fax (609) 777-2442</w:t>
          </w:r>
        </w:p>
        <w:p w:rsidR="006316CF" w:rsidRPr="00FA2934" w:rsidRDefault="006316CF" w:rsidP="00125D26">
          <w:pPr>
            <w:pStyle w:val="10pointItalics"/>
            <w:jc w:val="center"/>
            <w:rPr>
              <w:lang w:val="fr-FR"/>
            </w:rPr>
          </w:pPr>
          <w:r w:rsidRPr="00FA2934">
            <w:rPr>
              <w:lang w:val="fr-FR"/>
            </w:rPr>
            <w:t>www.njleg.state.nj.us</w:t>
          </w:r>
        </w:p>
      </w:tc>
    </w:tr>
  </w:tbl>
  <w:p w:rsidR="006316CF" w:rsidRPr="00FA2934" w:rsidRDefault="006316CF" w:rsidP="000E17DB">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75F" w:rsidRDefault="001B375F">
      <w:r>
        <w:separator/>
      </w:r>
    </w:p>
  </w:footnote>
  <w:footnote w:type="continuationSeparator" w:id="0">
    <w:p w:rsidR="001B375F" w:rsidRDefault="001B3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6CF" w:rsidRDefault="006316CF" w:rsidP="00C62494">
    <w:pPr>
      <w:pStyle w:val="Header"/>
      <w:jc w:val="center"/>
    </w:pPr>
    <w:r>
      <w:t>F</w:t>
    </w:r>
    <w:r w:rsidR="00CD7AF0">
      <w:t>E to S</w:t>
    </w:r>
    <w:r>
      <w:t>3218 [1R]</w:t>
    </w:r>
  </w:p>
  <w:p w:rsidR="006316CF" w:rsidRDefault="006316CF" w:rsidP="00C62494">
    <w:pPr>
      <w:pStyle w:val="Header"/>
      <w:jc w:val="center"/>
    </w:pPr>
    <w:r>
      <w:fldChar w:fldCharType="begin"/>
    </w:r>
    <w:r>
      <w:instrText xml:space="preserve"> PAGE  \* MERGEFORMAT </w:instrText>
    </w:r>
    <w:r>
      <w:fldChar w:fldCharType="separate"/>
    </w:r>
    <w:r w:rsidR="0038416B">
      <w:rPr>
        <w:noProof/>
      </w:rPr>
      <w:t>4</w:t>
    </w:r>
    <w:r>
      <w:fldChar w:fldCharType="end"/>
    </w:r>
  </w:p>
  <w:p w:rsidR="006316CF" w:rsidRDefault="006316CF" w:rsidP="00C6249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2B4184"/>
    <w:multiLevelType w:val="hybridMultilevel"/>
    <w:tmpl w:val="5DF02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F43A8C"/>
    <w:multiLevelType w:val="hybridMultilevel"/>
    <w:tmpl w:val="A43C3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494"/>
    <w:rsid w:val="000050CC"/>
    <w:rsid w:val="0000755E"/>
    <w:rsid w:val="00011EDD"/>
    <w:rsid w:val="0001297B"/>
    <w:rsid w:val="00013973"/>
    <w:rsid w:val="00022FB2"/>
    <w:rsid w:val="000333DF"/>
    <w:rsid w:val="00036860"/>
    <w:rsid w:val="00042B0B"/>
    <w:rsid w:val="000629F9"/>
    <w:rsid w:val="000701B0"/>
    <w:rsid w:val="00070F62"/>
    <w:rsid w:val="000820F8"/>
    <w:rsid w:val="0008691D"/>
    <w:rsid w:val="00090685"/>
    <w:rsid w:val="00095103"/>
    <w:rsid w:val="00095290"/>
    <w:rsid w:val="00097967"/>
    <w:rsid w:val="000A16EC"/>
    <w:rsid w:val="000A5A89"/>
    <w:rsid w:val="000B1CCB"/>
    <w:rsid w:val="000C074D"/>
    <w:rsid w:val="000C085C"/>
    <w:rsid w:val="000C50EA"/>
    <w:rsid w:val="000D1191"/>
    <w:rsid w:val="000E08DD"/>
    <w:rsid w:val="000E17DB"/>
    <w:rsid w:val="000E31A2"/>
    <w:rsid w:val="000F0A12"/>
    <w:rsid w:val="000F231D"/>
    <w:rsid w:val="000F278B"/>
    <w:rsid w:val="000F2B57"/>
    <w:rsid w:val="000F520E"/>
    <w:rsid w:val="0010000B"/>
    <w:rsid w:val="001106B5"/>
    <w:rsid w:val="00114591"/>
    <w:rsid w:val="00115411"/>
    <w:rsid w:val="001223E7"/>
    <w:rsid w:val="00125D26"/>
    <w:rsid w:val="00142AE8"/>
    <w:rsid w:val="00145CE4"/>
    <w:rsid w:val="00150AF5"/>
    <w:rsid w:val="00157AED"/>
    <w:rsid w:val="00171827"/>
    <w:rsid w:val="00172256"/>
    <w:rsid w:val="00172CF5"/>
    <w:rsid w:val="00174931"/>
    <w:rsid w:val="0018055B"/>
    <w:rsid w:val="00183A93"/>
    <w:rsid w:val="00185259"/>
    <w:rsid w:val="001907A1"/>
    <w:rsid w:val="00192D03"/>
    <w:rsid w:val="00193C26"/>
    <w:rsid w:val="00194789"/>
    <w:rsid w:val="00197240"/>
    <w:rsid w:val="001B1D4B"/>
    <w:rsid w:val="001B2BA9"/>
    <w:rsid w:val="001B375F"/>
    <w:rsid w:val="001D0007"/>
    <w:rsid w:val="001D0C90"/>
    <w:rsid w:val="001D3FD4"/>
    <w:rsid w:val="001D6A81"/>
    <w:rsid w:val="001E763C"/>
    <w:rsid w:val="001F4F8B"/>
    <w:rsid w:val="00201322"/>
    <w:rsid w:val="00203C53"/>
    <w:rsid w:val="00210E60"/>
    <w:rsid w:val="002116FF"/>
    <w:rsid w:val="00211E6D"/>
    <w:rsid w:val="00212908"/>
    <w:rsid w:val="00213CFF"/>
    <w:rsid w:val="00216394"/>
    <w:rsid w:val="00220166"/>
    <w:rsid w:val="00231207"/>
    <w:rsid w:val="00234802"/>
    <w:rsid w:val="00240B7F"/>
    <w:rsid w:val="00241AAD"/>
    <w:rsid w:val="002427E6"/>
    <w:rsid w:val="002451F9"/>
    <w:rsid w:val="002518C8"/>
    <w:rsid w:val="00255944"/>
    <w:rsid w:val="00261FC7"/>
    <w:rsid w:val="00275600"/>
    <w:rsid w:val="00290E57"/>
    <w:rsid w:val="0029229D"/>
    <w:rsid w:val="002977FC"/>
    <w:rsid w:val="002A15C4"/>
    <w:rsid w:val="002A2F18"/>
    <w:rsid w:val="002A5C0C"/>
    <w:rsid w:val="002B30E1"/>
    <w:rsid w:val="002B5A28"/>
    <w:rsid w:val="002C1B16"/>
    <w:rsid w:val="002D4307"/>
    <w:rsid w:val="002D4FA3"/>
    <w:rsid w:val="002D7381"/>
    <w:rsid w:val="002D7863"/>
    <w:rsid w:val="002E1747"/>
    <w:rsid w:val="002E3A30"/>
    <w:rsid w:val="002E471B"/>
    <w:rsid w:val="002F5E01"/>
    <w:rsid w:val="00316873"/>
    <w:rsid w:val="00326E3B"/>
    <w:rsid w:val="003321A7"/>
    <w:rsid w:val="00335BC0"/>
    <w:rsid w:val="003376CB"/>
    <w:rsid w:val="00353325"/>
    <w:rsid w:val="0035698A"/>
    <w:rsid w:val="00362F0A"/>
    <w:rsid w:val="003646BC"/>
    <w:rsid w:val="00366943"/>
    <w:rsid w:val="00370174"/>
    <w:rsid w:val="003772F6"/>
    <w:rsid w:val="0038146B"/>
    <w:rsid w:val="00381FCA"/>
    <w:rsid w:val="003828C4"/>
    <w:rsid w:val="0038416B"/>
    <w:rsid w:val="00385E41"/>
    <w:rsid w:val="00386200"/>
    <w:rsid w:val="00397131"/>
    <w:rsid w:val="003A5E75"/>
    <w:rsid w:val="003B66B0"/>
    <w:rsid w:val="003C23FD"/>
    <w:rsid w:val="003C5892"/>
    <w:rsid w:val="003C6FD3"/>
    <w:rsid w:val="003C7095"/>
    <w:rsid w:val="003D32B8"/>
    <w:rsid w:val="003D4453"/>
    <w:rsid w:val="00403F32"/>
    <w:rsid w:val="00405E73"/>
    <w:rsid w:val="004063F1"/>
    <w:rsid w:val="00407C9E"/>
    <w:rsid w:val="0041022E"/>
    <w:rsid w:val="004149CC"/>
    <w:rsid w:val="00426974"/>
    <w:rsid w:val="00426BEF"/>
    <w:rsid w:val="00430177"/>
    <w:rsid w:val="00431569"/>
    <w:rsid w:val="0044517B"/>
    <w:rsid w:val="00455D28"/>
    <w:rsid w:val="00472EDB"/>
    <w:rsid w:val="00485136"/>
    <w:rsid w:val="00485323"/>
    <w:rsid w:val="00485F9E"/>
    <w:rsid w:val="00486F97"/>
    <w:rsid w:val="00487ED8"/>
    <w:rsid w:val="004911CB"/>
    <w:rsid w:val="00491918"/>
    <w:rsid w:val="004A10CD"/>
    <w:rsid w:val="004A2E7F"/>
    <w:rsid w:val="004A5A65"/>
    <w:rsid w:val="004B1485"/>
    <w:rsid w:val="004C12B4"/>
    <w:rsid w:val="004C6ECA"/>
    <w:rsid w:val="004D6C2C"/>
    <w:rsid w:val="004D7D86"/>
    <w:rsid w:val="004E1959"/>
    <w:rsid w:val="004E1E03"/>
    <w:rsid w:val="004E533D"/>
    <w:rsid w:val="004E6202"/>
    <w:rsid w:val="004F1874"/>
    <w:rsid w:val="004F2034"/>
    <w:rsid w:val="004F585C"/>
    <w:rsid w:val="004F7F49"/>
    <w:rsid w:val="005025F7"/>
    <w:rsid w:val="00510A23"/>
    <w:rsid w:val="0051509B"/>
    <w:rsid w:val="0051514A"/>
    <w:rsid w:val="00515AC5"/>
    <w:rsid w:val="00520185"/>
    <w:rsid w:val="00520DC2"/>
    <w:rsid w:val="00536F40"/>
    <w:rsid w:val="005470F3"/>
    <w:rsid w:val="005574A4"/>
    <w:rsid w:val="005636DE"/>
    <w:rsid w:val="00570997"/>
    <w:rsid w:val="00577AA8"/>
    <w:rsid w:val="005850CE"/>
    <w:rsid w:val="00586E79"/>
    <w:rsid w:val="0059782E"/>
    <w:rsid w:val="005A1952"/>
    <w:rsid w:val="005A6D23"/>
    <w:rsid w:val="005B3E6F"/>
    <w:rsid w:val="005C1947"/>
    <w:rsid w:val="005C1E9D"/>
    <w:rsid w:val="005E03E7"/>
    <w:rsid w:val="005E2E48"/>
    <w:rsid w:val="005E75AB"/>
    <w:rsid w:val="00601F73"/>
    <w:rsid w:val="00603BAD"/>
    <w:rsid w:val="00625D15"/>
    <w:rsid w:val="006316CF"/>
    <w:rsid w:val="0064139F"/>
    <w:rsid w:val="00642CAE"/>
    <w:rsid w:val="00646254"/>
    <w:rsid w:val="00651611"/>
    <w:rsid w:val="00653AE2"/>
    <w:rsid w:val="006607AF"/>
    <w:rsid w:val="00662450"/>
    <w:rsid w:val="006671C7"/>
    <w:rsid w:val="00685F7B"/>
    <w:rsid w:val="006917CF"/>
    <w:rsid w:val="00692BD4"/>
    <w:rsid w:val="00696B69"/>
    <w:rsid w:val="006B22F3"/>
    <w:rsid w:val="006B2FD5"/>
    <w:rsid w:val="006B5C2D"/>
    <w:rsid w:val="006B6C16"/>
    <w:rsid w:val="006C61CF"/>
    <w:rsid w:val="006D6F6C"/>
    <w:rsid w:val="006E3F5D"/>
    <w:rsid w:val="006E5787"/>
    <w:rsid w:val="006F0CB1"/>
    <w:rsid w:val="006F239A"/>
    <w:rsid w:val="006F505D"/>
    <w:rsid w:val="006F7203"/>
    <w:rsid w:val="00707533"/>
    <w:rsid w:val="00714517"/>
    <w:rsid w:val="00722AEF"/>
    <w:rsid w:val="00737A6C"/>
    <w:rsid w:val="00743F01"/>
    <w:rsid w:val="00744AE4"/>
    <w:rsid w:val="00755341"/>
    <w:rsid w:val="007618F1"/>
    <w:rsid w:val="00763D60"/>
    <w:rsid w:val="00774101"/>
    <w:rsid w:val="007833B1"/>
    <w:rsid w:val="00784AC6"/>
    <w:rsid w:val="00787EB6"/>
    <w:rsid w:val="007920AC"/>
    <w:rsid w:val="007A0F7E"/>
    <w:rsid w:val="007A42C5"/>
    <w:rsid w:val="007A5780"/>
    <w:rsid w:val="007A65A1"/>
    <w:rsid w:val="007B1FCF"/>
    <w:rsid w:val="007B242D"/>
    <w:rsid w:val="007C2DB7"/>
    <w:rsid w:val="007C4620"/>
    <w:rsid w:val="007E337B"/>
    <w:rsid w:val="007E5EB3"/>
    <w:rsid w:val="00804E41"/>
    <w:rsid w:val="00805ED1"/>
    <w:rsid w:val="00807216"/>
    <w:rsid w:val="00811BC0"/>
    <w:rsid w:val="0081383A"/>
    <w:rsid w:val="008231E8"/>
    <w:rsid w:val="008266B7"/>
    <w:rsid w:val="00830EFC"/>
    <w:rsid w:val="00832A4D"/>
    <w:rsid w:val="00840364"/>
    <w:rsid w:val="00845EC1"/>
    <w:rsid w:val="00854B89"/>
    <w:rsid w:val="00855555"/>
    <w:rsid w:val="00881BED"/>
    <w:rsid w:val="00881EF3"/>
    <w:rsid w:val="00883E7C"/>
    <w:rsid w:val="00886261"/>
    <w:rsid w:val="00894971"/>
    <w:rsid w:val="008A1E76"/>
    <w:rsid w:val="008A2F45"/>
    <w:rsid w:val="008A6111"/>
    <w:rsid w:val="008C0341"/>
    <w:rsid w:val="008D5731"/>
    <w:rsid w:val="008E1349"/>
    <w:rsid w:val="008E5D91"/>
    <w:rsid w:val="00932EBE"/>
    <w:rsid w:val="00934C12"/>
    <w:rsid w:val="009358C8"/>
    <w:rsid w:val="00937A78"/>
    <w:rsid w:val="00947B1E"/>
    <w:rsid w:val="00953C08"/>
    <w:rsid w:val="00973C29"/>
    <w:rsid w:val="009847DC"/>
    <w:rsid w:val="009B14F4"/>
    <w:rsid w:val="009B1B0D"/>
    <w:rsid w:val="009B1C3D"/>
    <w:rsid w:val="009B32DD"/>
    <w:rsid w:val="009C005A"/>
    <w:rsid w:val="009D4BC2"/>
    <w:rsid w:val="009D57E0"/>
    <w:rsid w:val="009D5E5F"/>
    <w:rsid w:val="009D62B4"/>
    <w:rsid w:val="009E06D1"/>
    <w:rsid w:val="009E1448"/>
    <w:rsid w:val="009E3E41"/>
    <w:rsid w:val="009F524F"/>
    <w:rsid w:val="00A0045E"/>
    <w:rsid w:val="00A05345"/>
    <w:rsid w:val="00A05A06"/>
    <w:rsid w:val="00A164F2"/>
    <w:rsid w:val="00A26FCF"/>
    <w:rsid w:val="00A31FA5"/>
    <w:rsid w:val="00A34F8C"/>
    <w:rsid w:val="00A359DA"/>
    <w:rsid w:val="00A37886"/>
    <w:rsid w:val="00A63176"/>
    <w:rsid w:val="00A70D0C"/>
    <w:rsid w:val="00A80515"/>
    <w:rsid w:val="00A85FA0"/>
    <w:rsid w:val="00A87419"/>
    <w:rsid w:val="00A9794C"/>
    <w:rsid w:val="00AB0440"/>
    <w:rsid w:val="00AC3FC5"/>
    <w:rsid w:val="00AD340B"/>
    <w:rsid w:val="00AE3966"/>
    <w:rsid w:val="00AF11C6"/>
    <w:rsid w:val="00B002D1"/>
    <w:rsid w:val="00B03314"/>
    <w:rsid w:val="00B057F1"/>
    <w:rsid w:val="00B143A9"/>
    <w:rsid w:val="00B4569E"/>
    <w:rsid w:val="00B45879"/>
    <w:rsid w:val="00B551EB"/>
    <w:rsid w:val="00B55F3D"/>
    <w:rsid w:val="00B74BC3"/>
    <w:rsid w:val="00B84AC8"/>
    <w:rsid w:val="00B90F8C"/>
    <w:rsid w:val="00B91C0B"/>
    <w:rsid w:val="00B97E24"/>
    <w:rsid w:val="00BA0BE6"/>
    <w:rsid w:val="00BA2122"/>
    <w:rsid w:val="00BA26BC"/>
    <w:rsid w:val="00BA2F3A"/>
    <w:rsid w:val="00BA4754"/>
    <w:rsid w:val="00BB0184"/>
    <w:rsid w:val="00BB37AC"/>
    <w:rsid w:val="00BD7EE4"/>
    <w:rsid w:val="00BF47F9"/>
    <w:rsid w:val="00C07688"/>
    <w:rsid w:val="00C14B71"/>
    <w:rsid w:val="00C222D4"/>
    <w:rsid w:val="00C260AB"/>
    <w:rsid w:val="00C32933"/>
    <w:rsid w:val="00C3314D"/>
    <w:rsid w:val="00C43857"/>
    <w:rsid w:val="00C547EC"/>
    <w:rsid w:val="00C56AFE"/>
    <w:rsid w:val="00C62494"/>
    <w:rsid w:val="00C71AB8"/>
    <w:rsid w:val="00C75246"/>
    <w:rsid w:val="00C80B0B"/>
    <w:rsid w:val="00C91EDF"/>
    <w:rsid w:val="00C97447"/>
    <w:rsid w:val="00CA0364"/>
    <w:rsid w:val="00CA1D02"/>
    <w:rsid w:val="00CA32B4"/>
    <w:rsid w:val="00CC6622"/>
    <w:rsid w:val="00CD6572"/>
    <w:rsid w:val="00CD7AF0"/>
    <w:rsid w:val="00CE1EB7"/>
    <w:rsid w:val="00CF2C79"/>
    <w:rsid w:val="00D2069A"/>
    <w:rsid w:val="00D20F5D"/>
    <w:rsid w:val="00D251FC"/>
    <w:rsid w:val="00D325D6"/>
    <w:rsid w:val="00D376ED"/>
    <w:rsid w:val="00D40E4F"/>
    <w:rsid w:val="00D475DE"/>
    <w:rsid w:val="00D638D0"/>
    <w:rsid w:val="00D67A0A"/>
    <w:rsid w:val="00D734B9"/>
    <w:rsid w:val="00D762A6"/>
    <w:rsid w:val="00D762BF"/>
    <w:rsid w:val="00D8015C"/>
    <w:rsid w:val="00D82673"/>
    <w:rsid w:val="00D84564"/>
    <w:rsid w:val="00D958CF"/>
    <w:rsid w:val="00D968A7"/>
    <w:rsid w:val="00DC2149"/>
    <w:rsid w:val="00DC789F"/>
    <w:rsid w:val="00DD3C40"/>
    <w:rsid w:val="00DD7275"/>
    <w:rsid w:val="00DE1C6C"/>
    <w:rsid w:val="00DE4542"/>
    <w:rsid w:val="00DE47C2"/>
    <w:rsid w:val="00DE5037"/>
    <w:rsid w:val="00DF054C"/>
    <w:rsid w:val="00DF65C1"/>
    <w:rsid w:val="00E008A4"/>
    <w:rsid w:val="00E042C5"/>
    <w:rsid w:val="00E06D7C"/>
    <w:rsid w:val="00E10195"/>
    <w:rsid w:val="00E15AAF"/>
    <w:rsid w:val="00E21963"/>
    <w:rsid w:val="00E22D9A"/>
    <w:rsid w:val="00E262A3"/>
    <w:rsid w:val="00E32D2F"/>
    <w:rsid w:val="00E4028D"/>
    <w:rsid w:val="00E51E95"/>
    <w:rsid w:val="00E5461B"/>
    <w:rsid w:val="00E63B86"/>
    <w:rsid w:val="00E708C9"/>
    <w:rsid w:val="00E74E35"/>
    <w:rsid w:val="00E75B93"/>
    <w:rsid w:val="00E76136"/>
    <w:rsid w:val="00E86D2A"/>
    <w:rsid w:val="00E9123C"/>
    <w:rsid w:val="00E95800"/>
    <w:rsid w:val="00EA7AE2"/>
    <w:rsid w:val="00EB1C90"/>
    <w:rsid w:val="00EC1EF8"/>
    <w:rsid w:val="00EC2547"/>
    <w:rsid w:val="00EC2678"/>
    <w:rsid w:val="00EC4079"/>
    <w:rsid w:val="00EE1881"/>
    <w:rsid w:val="00EE7D05"/>
    <w:rsid w:val="00EF17BC"/>
    <w:rsid w:val="00EF3B9C"/>
    <w:rsid w:val="00F04CAD"/>
    <w:rsid w:val="00F05BAB"/>
    <w:rsid w:val="00F11982"/>
    <w:rsid w:val="00F11F17"/>
    <w:rsid w:val="00F17231"/>
    <w:rsid w:val="00F2634D"/>
    <w:rsid w:val="00F32E8D"/>
    <w:rsid w:val="00F332CE"/>
    <w:rsid w:val="00F35009"/>
    <w:rsid w:val="00F4083E"/>
    <w:rsid w:val="00F45BA7"/>
    <w:rsid w:val="00F51DD4"/>
    <w:rsid w:val="00F64D56"/>
    <w:rsid w:val="00F73621"/>
    <w:rsid w:val="00F82B11"/>
    <w:rsid w:val="00F873F0"/>
    <w:rsid w:val="00FA1216"/>
    <w:rsid w:val="00FA2934"/>
    <w:rsid w:val="00FA6D2B"/>
    <w:rsid w:val="00FB15DB"/>
    <w:rsid w:val="00FB1972"/>
    <w:rsid w:val="00FC7DA9"/>
    <w:rsid w:val="00FD2F99"/>
    <w:rsid w:val="00FD321E"/>
    <w:rsid w:val="00FE4E50"/>
    <w:rsid w:val="00FE5C5C"/>
    <w:rsid w:val="00FE76BC"/>
    <w:rsid w:val="00FF0588"/>
    <w:rsid w:val="00FF3DD2"/>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56F34CE-EBD0-45F2-A42C-7A9A981D8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40364"/>
    <w:pPr>
      <w:ind w:left="720"/>
      <w:contextualSpacing/>
    </w:pPr>
  </w:style>
  <w:style w:type="paragraph" w:styleId="FootnoteText">
    <w:name w:val="footnote text"/>
    <w:basedOn w:val="Normal"/>
    <w:link w:val="FootnoteTextChar"/>
    <w:semiHidden/>
    <w:unhideWhenUsed/>
    <w:rsid w:val="00840364"/>
    <w:pPr>
      <w:spacing w:line="240" w:lineRule="auto"/>
    </w:pPr>
    <w:rPr>
      <w:sz w:val="20"/>
      <w:szCs w:val="20"/>
    </w:rPr>
  </w:style>
  <w:style w:type="character" w:customStyle="1" w:styleId="FootnoteTextChar">
    <w:name w:val="Footnote Text Char"/>
    <w:basedOn w:val="DefaultParagraphFont"/>
    <w:link w:val="FootnoteText"/>
    <w:semiHidden/>
    <w:rsid w:val="00840364"/>
  </w:style>
  <w:style w:type="character" w:styleId="FootnoteReference">
    <w:name w:val="footnote reference"/>
    <w:basedOn w:val="DefaultParagraphFont"/>
    <w:semiHidden/>
    <w:unhideWhenUsed/>
    <w:rsid w:val="00840364"/>
    <w:rPr>
      <w:vertAlign w:val="superscript"/>
    </w:rPr>
  </w:style>
  <w:style w:type="character" w:styleId="Hyperlink">
    <w:name w:val="Hyperlink"/>
    <w:basedOn w:val="DefaultParagraphFont"/>
    <w:unhideWhenUsed/>
    <w:rsid w:val="008403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818907">
      <w:bodyDiv w:val="1"/>
      <w:marLeft w:val="0"/>
      <w:marRight w:val="0"/>
      <w:marTop w:val="0"/>
      <w:marBottom w:val="0"/>
      <w:divBdr>
        <w:top w:val="none" w:sz="0" w:space="0" w:color="auto"/>
        <w:left w:val="none" w:sz="0" w:space="0" w:color="auto"/>
        <w:bottom w:val="none" w:sz="0" w:space="0" w:color="auto"/>
        <w:right w:val="none" w:sz="0" w:space="0" w:color="auto"/>
      </w:divBdr>
    </w:div>
    <w:div w:id="524442655">
      <w:bodyDiv w:val="1"/>
      <w:marLeft w:val="0"/>
      <w:marRight w:val="0"/>
      <w:marTop w:val="0"/>
      <w:marBottom w:val="0"/>
      <w:divBdr>
        <w:top w:val="none" w:sz="0" w:space="0" w:color="auto"/>
        <w:left w:val="none" w:sz="0" w:space="0" w:color="auto"/>
        <w:bottom w:val="none" w:sz="0" w:space="0" w:color="auto"/>
        <w:right w:val="none" w:sz="0" w:space="0" w:color="auto"/>
      </w:divBdr>
    </w:div>
    <w:div w:id="1050036300">
      <w:bodyDiv w:val="1"/>
      <w:marLeft w:val="0"/>
      <w:marRight w:val="0"/>
      <w:marTop w:val="0"/>
      <w:marBottom w:val="0"/>
      <w:divBdr>
        <w:top w:val="none" w:sz="0" w:space="0" w:color="auto"/>
        <w:left w:val="none" w:sz="0" w:space="0" w:color="auto"/>
        <w:bottom w:val="none" w:sz="0" w:space="0" w:color="auto"/>
        <w:right w:val="none" w:sz="0" w:space="0" w:color="auto"/>
      </w:divBdr>
    </w:div>
    <w:div w:id="1309243501">
      <w:bodyDiv w:val="1"/>
      <w:marLeft w:val="0"/>
      <w:marRight w:val="0"/>
      <w:marTop w:val="0"/>
      <w:marBottom w:val="0"/>
      <w:divBdr>
        <w:top w:val="none" w:sz="0" w:space="0" w:color="auto"/>
        <w:left w:val="none" w:sz="0" w:space="0" w:color="auto"/>
        <w:bottom w:val="none" w:sz="0" w:space="0" w:color="auto"/>
        <w:right w:val="none" w:sz="0" w:space="0" w:color="auto"/>
      </w:divBdr>
    </w:div>
    <w:div w:id="1363094731">
      <w:bodyDiv w:val="1"/>
      <w:marLeft w:val="0"/>
      <w:marRight w:val="0"/>
      <w:marTop w:val="0"/>
      <w:marBottom w:val="0"/>
      <w:divBdr>
        <w:top w:val="none" w:sz="0" w:space="0" w:color="auto"/>
        <w:left w:val="none" w:sz="0" w:space="0" w:color="auto"/>
        <w:bottom w:val="none" w:sz="0" w:space="0" w:color="auto"/>
        <w:right w:val="none" w:sz="0" w:space="0" w:color="auto"/>
      </w:divBdr>
    </w:div>
    <w:div w:id="1375540266">
      <w:bodyDiv w:val="1"/>
      <w:marLeft w:val="0"/>
      <w:marRight w:val="0"/>
      <w:marTop w:val="0"/>
      <w:marBottom w:val="0"/>
      <w:divBdr>
        <w:top w:val="none" w:sz="0" w:space="0" w:color="auto"/>
        <w:left w:val="none" w:sz="0" w:space="0" w:color="auto"/>
        <w:bottom w:val="none" w:sz="0" w:space="0" w:color="auto"/>
        <w:right w:val="none" w:sz="0" w:space="0" w:color="auto"/>
      </w:divBdr>
    </w:div>
    <w:div w:id="1613515462">
      <w:bodyDiv w:val="1"/>
      <w:marLeft w:val="0"/>
      <w:marRight w:val="0"/>
      <w:marTop w:val="0"/>
      <w:marBottom w:val="0"/>
      <w:divBdr>
        <w:top w:val="none" w:sz="0" w:space="0" w:color="auto"/>
        <w:left w:val="none" w:sz="0" w:space="0" w:color="auto"/>
        <w:bottom w:val="none" w:sz="0" w:space="0" w:color="auto"/>
        <w:right w:val="none" w:sz="0" w:space="0" w:color="auto"/>
      </w:divBdr>
    </w:div>
    <w:div w:id="1731226755">
      <w:bodyDiv w:val="1"/>
      <w:marLeft w:val="0"/>
      <w:marRight w:val="0"/>
      <w:marTop w:val="0"/>
      <w:marBottom w:val="0"/>
      <w:divBdr>
        <w:top w:val="none" w:sz="0" w:space="0" w:color="auto"/>
        <w:left w:val="none" w:sz="0" w:space="0" w:color="auto"/>
        <w:bottom w:val="none" w:sz="0" w:space="0" w:color="auto"/>
        <w:right w:val="none" w:sz="0" w:space="0" w:color="auto"/>
      </w:divBdr>
    </w:div>
    <w:div w:id="1812481779">
      <w:bodyDiv w:val="1"/>
      <w:marLeft w:val="0"/>
      <w:marRight w:val="0"/>
      <w:marTop w:val="0"/>
      <w:marBottom w:val="0"/>
      <w:divBdr>
        <w:top w:val="none" w:sz="0" w:space="0" w:color="auto"/>
        <w:left w:val="none" w:sz="0" w:space="0" w:color="auto"/>
        <w:bottom w:val="none" w:sz="0" w:space="0" w:color="auto"/>
        <w:right w:val="none" w:sz="0" w:space="0" w:color="auto"/>
      </w:divBdr>
    </w:div>
    <w:div w:id="1858343483">
      <w:bodyDiv w:val="1"/>
      <w:marLeft w:val="0"/>
      <w:marRight w:val="0"/>
      <w:marTop w:val="0"/>
      <w:marBottom w:val="0"/>
      <w:divBdr>
        <w:top w:val="none" w:sz="0" w:space="0" w:color="auto"/>
        <w:left w:val="none" w:sz="0" w:space="0" w:color="auto"/>
        <w:bottom w:val="none" w:sz="0" w:space="0" w:color="auto"/>
        <w:right w:val="none" w:sz="0" w:space="0" w:color="auto"/>
      </w:divBdr>
    </w:div>
    <w:div w:id="1942184291">
      <w:bodyDiv w:val="1"/>
      <w:marLeft w:val="0"/>
      <w:marRight w:val="0"/>
      <w:marTop w:val="0"/>
      <w:marBottom w:val="0"/>
      <w:divBdr>
        <w:top w:val="none" w:sz="0" w:space="0" w:color="auto"/>
        <w:left w:val="none" w:sz="0" w:space="0" w:color="auto"/>
        <w:bottom w:val="none" w:sz="0" w:space="0" w:color="auto"/>
        <w:right w:val="none" w:sz="0" w:space="0" w:color="auto"/>
      </w:divBdr>
    </w:div>
    <w:div w:id="2105612702">
      <w:bodyDiv w:val="1"/>
      <w:marLeft w:val="0"/>
      <w:marRight w:val="0"/>
      <w:marTop w:val="0"/>
      <w:marBottom w:val="0"/>
      <w:divBdr>
        <w:top w:val="none" w:sz="0" w:space="0" w:color="auto"/>
        <w:left w:val="none" w:sz="0" w:space="0" w:color="auto"/>
        <w:bottom w:val="none" w:sz="0" w:space="0" w:color="auto"/>
        <w:right w:val="none" w:sz="0" w:space="0" w:color="auto"/>
      </w:divBdr>
    </w:div>
    <w:div w:id="214134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1672</Words>
  <Characters>9419</Characters>
  <Application>Microsoft Office Word</Application>
  <DocSecurity>0</DocSecurity>
  <Lines>385</Lines>
  <Paragraphs>244</Paragraphs>
  <ScaleCrop>false</ScaleCrop>
  <HeadingPairs>
    <vt:vector size="2" baseType="variant">
      <vt:variant>
        <vt:lpstr>Title</vt:lpstr>
      </vt:variant>
      <vt:variant>
        <vt:i4>1</vt:i4>
      </vt:variant>
    </vt:vector>
  </HeadingPairs>
  <TitlesOfParts>
    <vt:vector size="1" baseType="lpstr">
      <vt:lpstr>S3218 [1R]  FISCAL ESTIMATE</vt:lpstr>
    </vt:vector>
  </TitlesOfParts>
  <Manager>Rodriguez, Juan; R225</Manager>
  <Company>Office of Legislative Services</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S3218 1R FISCAL ESTIMATE</dc:title>
  <dc:creator>Senator POU, Senator SARLO</dc:creator>
  <cp:keywords>S3218|4|CL |289|0|260|!|0|</cp:keywords>
  <dc:description>sponsor 12/18 BPU 12/23</dc:description>
  <cp:lastModifiedBy>Siracusa, Nicole</cp:lastModifiedBy>
  <cp:revision>2</cp:revision>
  <dcterms:created xsi:type="dcterms:W3CDTF">2020-12-23T16:46:00Z</dcterms:created>
  <dcterms:modified xsi:type="dcterms:W3CDTF">2020-12-23T16:46:00Z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