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0324A" w14:textId="73B6140D" w:rsidR="00F5534C" w:rsidRDefault="00F5534C" w:rsidP="00F5534C">
      <w:pPr>
        <w:pStyle w:val="bpuReprint"/>
      </w:pPr>
      <w:bookmarkStart w:id="0" w:name="bpuFrontPg"/>
      <w:bookmarkStart w:id="1" w:name="_GoBack"/>
      <w:bookmarkEnd w:id="0"/>
      <w:bookmarkEnd w:id="1"/>
      <w:r>
        <w:t>[First Reprint]</w:t>
      </w:r>
    </w:p>
    <w:p w14:paraId="4BC96AE6" w14:textId="4DB8BFBA" w:rsidR="005E33AC" w:rsidRDefault="005E33AC" w:rsidP="005E33AC">
      <w:pPr>
        <w:pStyle w:val="bpuBill"/>
      </w:pPr>
      <w:r>
        <w:t xml:space="preserve">SENATE, No. 3242 </w:t>
      </w:r>
    </w:p>
    <w:p w14:paraId="50B7A606" w14:textId="47B099FB" w:rsidR="005E33AC" w:rsidRPr="009D38FF" w:rsidRDefault="005E33AC" w:rsidP="005E33AC">
      <w:pPr>
        <w:pStyle w:val="bpuWpGraphic"/>
      </w:pPr>
      <w:r>
        <w:object w:dxaOrig="8985" w:dyaOrig="255" w14:anchorId="306903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492281" r:id="rId7"/>
        </w:object>
      </w:r>
    </w:p>
    <w:p w14:paraId="457B20B9" w14:textId="77777777" w:rsidR="005E33AC" w:rsidRDefault="005E33AC" w:rsidP="005E33AC">
      <w:pPr>
        <w:pStyle w:val="bpuState"/>
      </w:pPr>
      <w:r>
        <w:t>STATE OF NEW JERSEY</w:t>
      </w:r>
    </w:p>
    <w:p w14:paraId="68393D56" w14:textId="77777777" w:rsidR="005E33AC" w:rsidRDefault="005E33AC" w:rsidP="005E33AC">
      <w:pPr>
        <w:pStyle w:val="bpuLegislature"/>
      </w:pPr>
      <w:r>
        <w:t>219th LEGISLATURE</w:t>
      </w:r>
    </w:p>
    <w:p w14:paraId="4B87BD90" w14:textId="5FEFFF9C" w:rsidR="005E33AC" w:rsidRDefault="005E33AC" w:rsidP="005E33AC">
      <w:pPr>
        <w:pStyle w:val="bpuWpGraphic"/>
      </w:pPr>
      <w:r>
        <w:object w:dxaOrig="8985" w:dyaOrig="255" w14:anchorId="76F2E960">
          <v:shape id="_x0000_i1026" type="#_x0000_t75" style="width:6in;height:12pt" o:ole="">
            <v:imagedata r:id="rId6" o:title=""/>
          </v:shape>
          <o:OLEObject Type="Embed" ProgID="WPWin6.1" ShapeID="_x0000_i1026" DrawAspect="Content" ObjectID="_1675492282" r:id="rId8"/>
        </w:object>
      </w:r>
      <w:r>
        <w:t xml:space="preserve">  </w:t>
      </w:r>
    </w:p>
    <w:p w14:paraId="1E3845D5" w14:textId="77777777" w:rsidR="005E33AC" w:rsidRDefault="005E33AC" w:rsidP="005E33AC">
      <w:pPr>
        <w:pStyle w:val="bpuIntro"/>
      </w:pPr>
      <w:r>
        <w:t>INTRODUCED DECEMBER 10, 2020</w:t>
      </w:r>
    </w:p>
    <w:p w14:paraId="5D5D2F0B" w14:textId="77777777" w:rsidR="005E33AC" w:rsidRDefault="005E33AC" w:rsidP="005E33AC">
      <w:pPr>
        <w:pStyle w:val="bpuIntro"/>
      </w:pPr>
    </w:p>
    <w:p w14:paraId="43B19030" w14:textId="77777777" w:rsidR="005E33AC" w:rsidRDefault="005E33AC" w:rsidP="005E33AC">
      <w:pPr>
        <w:pStyle w:val="bpuIntro"/>
        <w:sectPr w:rsidR="005E33AC" w:rsidSect="005E33AC">
          <w:headerReference w:type="even" r:id="rId9"/>
          <w:headerReference w:type="default" r:id="rId10"/>
          <w:pgSz w:w="12240" w:h="20160" w:code="5"/>
          <w:pgMar w:top="2160" w:right="1440" w:bottom="1440" w:left="1440" w:header="72" w:footer="720" w:gutter="0"/>
          <w:pgNumType w:start="1"/>
          <w:cols w:space="720"/>
          <w:docGrid w:linePitch="360"/>
        </w:sectPr>
      </w:pPr>
    </w:p>
    <w:p w14:paraId="1712179C" w14:textId="77777777" w:rsidR="005E33AC" w:rsidRDefault="005E33AC" w:rsidP="005E33AC">
      <w:pPr>
        <w:pStyle w:val="bpuIntro"/>
      </w:pPr>
    </w:p>
    <w:p w14:paraId="1CC0E20E" w14:textId="77777777" w:rsidR="005E33AC" w:rsidRDefault="005E33AC" w:rsidP="005E33AC">
      <w:pPr>
        <w:pStyle w:val="bpuSponsor"/>
      </w:pPr>
      <w:r>
        <w:t>Sponsored by:</w:t>
      </w:r>
    </w:p>
    <w:p w14:paraId="41F20480" w14:textId="77777777" w:rsidR="005E33AC" w:rsidRDefault="005E33AC" w:rsidP="005E33AC">
      <w:pPr>
        <w:pStyle w:val="bpuSponsor"/>
      </w:pPr>
      <w:r>
        <w:t>Senator  RICHARD J. CODEY</w:t>
      </w:r>
    </w:p>
    <w:p w14:paraId="0DC8EE09" w14:textId="77777777" w:rsidR="005E33AC" w:rsidRDefault="005E33AC" w:rsidP="005E33AC">
      <w:pPr>
        <w:pStyle w:val="bpuSponsor"/>
      </w:pPr>
      <w:r>
        <w:t>District 27 (Essex and Morris)</w:t>
      </w:r>
    </w:p>
    <w:p w14:paraId="3F5A9F84" w14:textId="77777777" w:rsidR="005E33AC" w:rsidRDefault="005E33AC" w:rsidP="005E33AC">
      <w:pPr>
        <w:pStyle w:val="bpuSponsor"/>
      </w:pPr>
      <w:r>
        <w:t>Senator  NICHOLAS J. SACCO</w:t>
      </w:r>
    </w:p>
    <w:p w14:paraId="1E878019" w14:textId="77777777" w:rsidR="005E33AC" w:rsidRDefault="005E33AC" w:rsidP="005E33AC">
      <w:pPr>
        <w:pStyle w:val="bpuSponsor"/>
      </w:pPr>
      <w:r>
        <w:t>District 32 (Bergen and Hudson)</w:t>
      </w:r>
    </w:p>
    <w:p w14:paraId="643E5A5C" w14:textId="77777777" w:rsidR="005E33AC" w:rsidRDefault="005E33AC" w:rsidP="005E33AC">
      <w:pPr>
        <w:pStyle w:val="bpuSponsor"/>
      </w:pPr>
    </w:p>
    <w:p w14:paraId="4D28A852" w14:textId="77777777" w:rsidR="005E33AC" w:rsidRDefault="005E33AC" w:rsidP="005E33AC">
      <w:pPr>
        <w:pStyle w:val="bpuSponsor"/>
      </w:pPr>
    </w:p>
    <w:p w14:paraId="1E475E5B" w14:textId="77777777" w:rsidR="005E33AC" w:rsidRDefault="005E33AC" w:rsidP="005E33AC">
      <w:pPr>
        <w:pStyle w:val="bpuSponsor"/>
      </w:pPr>
    </w:p>
    <w:p w14:paraId="7494E90F" w14:textId="77777777" w:rsidR="005E33AC" w:rsidRDefault="005E33AC" w:rsidP="005E33AC">
      <w:pPr>
        <w:pStyle w:val="bpuSponsor"/>
      </w:pPr>
    </w:p>
    <w:p w14:paraId="62CB6B15" w14:textId="77777777" w:rsidR="005E33AC" w:rsidRDefault="005E33AC" w:rsidP="005E33AC">
      <w:pPr>
        <w:pStyle w:val="bpuSponsor"/>
      </w:pPr>
      <w:r>
        <w:t>SYNOPSIS</w:t>
      </w:r>
    </w:p>
    <w:p w14:paraId="2DDC1177" w14:textId="77777777" w:rsidR="005E33AC" w:rsidRDefault="005E33AC" w:rsidP="005E33AC">
      <w:pPr>
        <w:pStyle w:val="bpuNormText"/>
      </w:pPr>
      <w:r>
        <w:tab/>
        <w:t xml:space="preserve">Bars certain public officials from holding elective public office and participating in political activities for three years. </w:t>
      </w:r>
    </w:p>
    <w:p w14:paraId="2A0D0CAA" w14:textId="77777777" w:rsidR="005E33AC" w:rsidRDefault="005E33AC" w:rsidP="005E33AC">
      <w:pPr>
        <w:pStyle w:val="bpuNormText"/>
      </w:pPr>
    </w:p>
    <w:p w14:paraId="019CF600" w14:textId="77777777" w:rsidR="005E33AC" w:rsidRDefault="005E33AC" w:rsidP="005E33AC">
      <w:pPr>
        <w:pStyle w:val="bpuSponsor"/>
      </w:pPr>
      <w:r>
        <w:t xml:space="preserve">CURRENT VERSION OF TEXT </w:t>
      </w:r>
    </w:p>
    <w:p w14:paraId="748DBF39" w14:textId="58164CEF" w:rsidR="005E33AC" w:rsidRDefault="00F5534C" w:rsidP="005E33AC">
      <w:pPr>
        <w:pStyle w:val="bpuNormText"/>
      </w:pPr>
      <w:r>
        <w:tab/>
        <w:t>As amended by the Senate on February 19, 2021.</w:t>
      </w:r>
    </w:p>
    <w:p w14:paraId="4DAC9CB4" w14:textId="7CEDEC7C" w:rsidR="005E33AC" w:rsidRDefault="005E33AC" w:rsidP="005E33AC">
      <w:pPr>
        <w:pStyle w:val="bpuNormText"/>
      </w:pPr>
      <w:r>
        <w:rPr>
          <w:noProof/>
        </w:rPr>
        <w:drawing>
          <wp:anchor distT="0" distB="0" distL="114300" distR="114300" simplePos="0" relativeHeight="251659264" behindDoc="1" locked="0" layoutInCell="1" allowOverlap="1" wp14:anchorId="4E964629" wp14:editId="21E4402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1EAAAD" w14:textId="77777777" w:rsidR="005E33AC" w:rsidRDefault="005E33AC" w:rsidP="008916EC">
      <w:pPr>
        <w:pStyle w:val="FronterPage"/>
        <w:tabs>
          <w:tab w:val="clear" w:pos="720"/>
          <w:tab w:val="clear" w:pos="1440"/>
          <w:tab w:val="clear" w:pos="2160"/>
          <w:tab w:val="clear" w:pos="2880"/>
          <w:tab w:val="clear" w:pos="3600"/>
          <w:tab w:val="clear" w:pos="4320"/>
          <w:tab w:val="clear" w:pos="5040"/>
        </w:tabs>
        <w:sectPr w:rsidR="005E33AC" w:rsidSect="005E33AC">
          <w:type w:val="continuous"/>
          <w:pgSz w:w="12240" w:h="20160" w:code="5"/>
          <w:pgMar w:top="1440" w:right="2275" w:bottom="1440" w:left="2275" w:header="72" w:footer="720" w:gutter="0"/>
          <w:pgNumType w:start="1"/>
          <w:cols w:space="720"/>
          <w:docGrid w:linePitch="360"/>
        </w:sectPr>
      </w:pPr>
    </w:p>
    <w:p w14:paraId="507AEC9D" w14:textId="095A08B1" w:rsidR="00686AEB" w:rsidRPr="00677316" w:rsidRDefault="00E92376" w:rsidP="003E47BA">
      <w:pPr>
        <w:pStyle w:val="HangingAnAct"/>
        <w:rPr>
          <w:rStyle w:val="HangingAnActChar"/>
        </w:rPr>
      </w:pPr>
      <w:r>
        <w:rPr>
          <w:rStyle w:val="BillHead"/>
        </w:rPr>
        <w:lastRenderedPageBreak/>
        <w:t>An Act</w:t>
      </w:r>
      <w:r w:rsidR="00686AEB" w:rsidRPr="006B7FA7">
        <w:rPr>
          <w:rStyle w:val="HangingAnActChar"/>
        </w:rPr>
        <w:t xml:space="preserve"> </w:t>
      </w:r>
      <w:r w:rsidR="00280CC5" w:rsidRPr="00280CC5">
        <w:t xml:space="preserve">concerning </w:t>
      </w:r>
      <w:r w:rsidR="00EB265B">
        <w:t xml:space="preserve">elective </w:t>
      </w:r>
      <w:r w:rsidR="00280CC5" w:rsidRPr="00280CC5">
        <w:t>public office and certain political activity, and amending P.</w:t>
      </w:r>
      <w:r w:rsidR="00227926">
        <w:t>L</w:t>
      </w:r>
      <w:r w:rsidR="00280CC5" w:rsidRPr="00280CC5">
        <w:t>.1964, c.168, and supplementing P.L.1948, c.439 (C.52:17B-1 et seq.).</w:t>
      </w:r>
    </w:p>
    <w:p w14:paraId="16D41888" w14:textId="77777777" w:rsidR="000B1054" w:rsidRPr="00D71D68" w:rsidRDefault="000B1054" w:rsidP="000B1054"/>
    <w:p w14:paraId="61BDD68C"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4ADC9B17" w14:textId="77777777" w:rsidR="00686AEB" w:rsidRPr="00D71D68" w:rsidRDefault="00686AEB" w:rsidP="00686AEB"/>
    <w:p w14:paraId="0BCC63C9" w14:textId="77777777" w:rsidR="00F5534C" w:rsidRDefault="00F5534C" w:rsidP="00F5534C">
      <w:r>
        <w:tab/>
        <w:t>1.</w:t>
      </w:r>
      <w:r>
        <w:tab/>
        <w:t>Section 1 of P.L.1964, c.168 (C.2A:158-21) is amended to read as follows:</w:t>
      </w:r>
    </w:p>
    <w:p w14:paraId="3B1CC6A6" w14:textId="77777777" w:rsidR="00F5534C" w:rsidRDefault="00F5534C" w:rsidP="00F5534C">
      <w:r>
        <w:tab/>
        <w:t>1.</w:t>
      </w:r>
      <w:r>
        <w:tab/>
      </w:r>
      <w:r>
        <w:rPr>
          <w:u w:val="single"/>
        </w:rPr>
        <w:t>a.</w:t>
      </w:r>
      <w:r>
        <w:t xml:space="preserve">  No county prosecutor, assistant prosecutor or legal assistant to a prosecutor, while holding any such office or position,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or  publish in order to distribute such political or campaign literature or  material</w:t>
      </w:r>
      <w:r w:rsidRPr="00B27314">
        <w:rPr>
          <w:rFonts w:ascii="Albertus Extra Bold" w:hAnsi="Albertus Extra Bold"/>
          <w:b/>
          <w:bCs/>
        </w:rPr>
        <w:t>[</w:t>
      </w:r>
      <w:r>
        <w:t>;  provided, however, that the prohibition against holding office contained in this act shall not prevent any individual, holding or filling any such office as of the effective date of this act, from completing any term of office for which he has heretofore been elected or chosen;  and provided further that nothing herein contained shall be construed to prohibit any such prosecutor, assistant prosecutor or legal assistant from being a candidate for election to, or from holding, the office or position of delegate or alternate to the national convention of any political party</w:t>
      </w:r>
      <w:r w:rsidRPr="00B27314">
        <w:rPr>
          <w:rFonts w:ascii="Albertus Extra Bold" w:hAnsi="Albertus Extra Bold"/>
          <w:b/>
          <w:bCs/>
        </w:rPr>
        <w:t>]</w:t>
      </w:r>
      <w:r>
        <w:t>.</w:t>
      </w:r>
    </w:p>
    <w:p w14:paraId="59FDA3B9" w14:textId="77777777" w:rsidR="00F5534C" w:rsidRDefault="00F5534C" w:rsidP="00F5534C">
      <w:pPr>
        <w:rPr>
          <w:u w:val="single"/>
        </w:rPr>
      </w:pPr>
      <w:r>
        <w:tab/>
      </w:r>
      <w:r>
        <w:rPr>
          <w:u w:val="single"/>
        </w:rPr>
        <w:t>b.</w:t>
      </w:r>
      <w:r>
        <w:rPr>
          <w:u w:val="single"/>
        </w:rPr>
        <w:tab/>
      </w:r>
      <w:r w:rsidRPr="007028F5">
        <w:rPr>
          <w:u w:val="single"/>
        </w:rPr>
        <w:t>A person who holds the position of county prosecutor, assistant prosecutor, or legal assistant to a prosecutor shall not be a candidate for, or hold, elective public office for a period of t</w:t>
      </w:r>
      <w:r>
        <w:rPr>
          <w:u w:val="single"/>
        </w:rPr>
        <w:t>hree</w:t>
      </w:r>
      <w:r w:rsidRPr="007028F5">
        <w:rPr>
          <w:u w:val="single"/>
        </w:rPr>
        <w:t xml:space="preserve"> years immediately following the termination of that person’s service as county prosecutor, assistant prosecutor, or legal assistant to a prosecutor.</w:t>
      </w:r>
    </w:p>
    <w:p w14:paraId="727ECCBE" w14:textId="77777777" w:rsidR="00F5534C" w:rsidRPr="007028F5" w:rsidRDefault="00F5534C" w:rsidP="00F5534C">
      <w:pPr>
        <w:rPr>
          <w:u w:val="single"/>
        </w:rPr>
      </w:pPr>
      <w:r w:rsidRPr="00F41EF4">
        <w:tab/>
      </w:r>
      <w:r>
        <w:rPr>
          <w:rFonts w:ascii="Albertus Extra Bold" w:hAnsi="Albertus Extra Bold"/>
          <w:b/>
          <w:vertAlign w:val="superscript"/>
        </w:rPr>
        <w:t>1</w:t>
      </w:r>
      <w:r>
        <w:rPr>
          <w:u w:val="single"/>
        </w:rPr>
        <w:t>c.  Subsections a. and b. of this section shall not apply to a municipal prosecutor, assistant municipal prosecutor, or legal assistant to a municipal prosecutor.</w:t>
      </w:r>
      <w:r w:rsidRPr="00F41EF4">
        <w:rPr>
          <w:rFonts w:ascii="Albertus Extra Bold" w:hAnsi="Albertus Extra Bold"/>
          <w:b/>
          <w:vertAlign w:val="superscript"/>
        </w:rPr>
        <w:t>1</w:t>
      </w:r>
    </w:p>
    <w:p w14:paraId="05817B61" w14:textId="77777777" w:rsidR="00F5534C" w:rsidRDefault="00F5534C" w:rsidP="00F5534C">
      <w:r>
        <w:t>(</w:t>
      </w:r>
      <w:proofErr w:type="spellStart"/>
      <w:r>
        <w:t>cf</w:t>
      </w:r>
      <w:proofErr w:type="spellEnd"/>
      <w:r>
        <w:t>: P.L.1964, c.168, s.1)</w:t>
      </w:r>
    </w:p>
    <w:p w14:paraId="6D9C1B8C" w14:textId="7973AB8F" w:rsidR="00280CC5" w:rsidRDefault="00280CC5" w:rsidP="00686AEB"/>
    <w:p w14:paraId="7A14AE51" w14:textId="20146AC6" w:rsidR="00A05EA7" w:rsidRDefault="00A05EA7" w:rsidP="00686AEB">
      <w:r>
        <w:tab/>
        <w:t>2.</w:t>
      </w:r>
      <w:r>
        <w:tab/>
        <w:t xml:space="preserve">(New section)  a.  No person who holds the position of Attorney General, First Assistant Attorney General, or any position of employment as professional staff in the Office of the Attorney General in the Department of Law and Public Safety, while holding any such office or position, shall: (1) be a candidate for election to, or hold, any elective public office or any office or position with any political party or club, or (2) in connection with another </w:t>
      </w:r>
      <w:r>
        <w:lastRenderedPageBreak/>
        <w:t>individual’s candidacy for public office, sign, or authorize the use of that person’s name in connection with political or campaign literature or material, or print, publish, or distribute such political or campaign literature or material.</w:t>
      </w:r>
    </w:p>
    <w:p w14:paraId="4A50F689" w14:textId="609A99FC" w:rsidR="001B061C" w:rsidRDefault="001B061C" w:rsidP="00686AEB">
      <w:r>
        <w:tab/>
        <w:t>b.</w:t>
      </w:r>
      <w:r>
        <w:tab/>
      </w:r>
      <w:r w:rsidRPr="001B061C">
        <w:t>A person who holds the position of Attorney General or First Assistant Attorney General shall not be a candidate for, or hold, elective public office for a period of t</w:t>
      </w:r>
      <w:r w:rsidR="00454232">
        <w:t>hree</w:t>
      </w:r>
      <w:r w:rsidRPr="001B061C">
        <w:t xml:space="preserve"> years immediately following the termination of that person’s service as Attorney General or First Assistant Attorney General.</w:t>
      </w:r>
    </w:p>
    <w:p w14:paraId="2D1D2A53" w14:textId="77777777" w:rsidR="00A05EA7" w:rsidRDefault="00A05EA7" w:rsidP="00686AEB"/>
    <w:p w14:paraId="0C36A038" w14:textId="72B3ECA2" w:rsidR="00686AEB" w:rsidRPr="00AA7880" w:rsidRDefault="00686AEB" w:rsidP="00686AEB">
      <w:r>
        <w:tab/>
      </w:r>
      <w:r w:rsidR="00FA53F3">
        <w:t>3</w:t>
      </w:r>
      <w:r w:rsidR="00E92376">
        <w:t>.</w:t>
      </w:r>
      <w:r w:rsidR="00FA53F3">
        <w:tab/>
      </w:r>
      <w:r w:rsidR="00E92376">
        <w:t>This act shall take effect</w:t>
      </w:r>
      <w:r w:rsidR="00FA53F3">
        <w:t xml:space="preserve"> on the 180th day following enactment and shall apply to any person who holds the position of Attorney General, First Assistant Attorney General, county prosecutor, assistant prosecutor, or legal assistant to a prosecutor on and after that effective date.</w:t>
      </w:r>
    </w:p>
    <w:sectPr w:rsidR="00686AEB" w:rsidRPr="00AA7880" w:rsidSect="005E33A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F1F19" w14:textId="77777777" w:rsidR="00175957" w:rsidRDefault="00175957">
      <w:r>
        <w:separator/>
      </w:r>
    </w:p>
  </w:endnote>
  <w:endnote w:type="continuationSeparator" w:id="0">
    <w:p w14:paraId="6A36B306"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33A5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2BF4"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97400B7" w14:textId="77777777" w:rsidR="00E92376" w:rsidRPr="00921C91" w:rsidRDefault="00E92376">
    <w:pPr>
      <w:pStyle w:val="Footer"/>
      <w:rPr>
        <w:szCs w:val="18"/>
      </w:rPr>
    </w:pPr>
  </w:p>
  <w:p w14:paraId="5AB49266" w14:textId="77777777" w:rsidR="00F5534C" w:rsidRDefault="00E92376"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AD28192" w14:textId="08E1D4FD" w:rsidR="00F5534C" w:rsidRDefault="00F5534C" w:rsidP="00686AEB">
    <w:pPr>
      <w:pStyle w:val="Footer"/>
      <w:rPr>
        <w:szCs w:val="18"/>
      </w:rPr>
    </w:pPr>
    <w:r>
      <w:rPr>
        <w:szCs w:val="18"/>
      </w:rPr>
      <w:tab/>
      <w:t>Matter enclosed in superscript numerals has been adopted as follows:</w:t>
    </w:r>
  </w:p>
  <w:p w14:paraId="63A1D85E" w14:textId="09066885" w:rsidR="00F5534C" w:rsidRDefault="00F5534C"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February 19, 2021.</w:t>
    </w:r>
  </w:p>
  <w:p w14:paraId="55E47661" w14:textId="77777777" w:rsidR="00F5534C" w:rsidRPr="00F5534C" w:rsidRDefault="00F5534C"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D6AFF" w14:textId="77777777" w:rsidR="00175957" w:rsidRDefault="00175957">
      <w:r>
        <w:separator/>
      </w:r>
    </w:p>
  </w:footnote>
  <w:footnote w:type="continuationSeparator" w:id="0">
    <w:p w14:paraId="1FADD540"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790D" w14:textId="77777777" w:rsidR="00665CBC" w:rsidRDefault="001B3EFE">
    <w:pPr>
      <w:pStyle w:val="Header"/>
    </w:pPr>
    <w:r>
      <w:rPr>
        <w:noProof/>
      </w:rPr>
      <w:pict w14:anchorId="40471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FDE42" w14:textId="2812C52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680E5" w14:textId="1C041AF8" w:rsidR="00665CBC" w:rsidRDefault="00665CBC" w:rsidP="00686AEB">
    <w:pPr>
      <w:pStyle w:val="Header"/>
      <w:jc w:val="center"/>
      <w:rPr>
        <w:rStyle w:val="PageNumber"/>
      </w:rPr>
    </w:pPr>
  </w:p>
  <w:p w14:paraId="648B587C" w14:textId="2C8D4C73" w:rsidR="005E33AC" w:rsidRDefault="005E33AC" w:rsidP="005E33AC">
    <w:pPr>
      <w:pStyle w:val="bpuHeadSpon"/>
    </w:pPr>
    <w:r w:rsidRPr="005E33AC">
      <w:rPr>
        <w:rStyle w:val="bpuHeadSponChar"/>
      </w:rPr>
      <w:t>S3242</w:t>
    </w:r>
    <w:r>
      <w:t xml:space="preserve"> </w:t>
    </w:r>
    <w:r w:rsidR="00F5534C">
      <w:t xml:space="preserve">[1R] </w:t>
    </w:r>
    <w:r>
      <w:t>CODEY, SACCO</w:t>
    </w:r>
  </w:p>
  <w:p w14:paraId="32BBF876" w14:textId="76C07FCA" w:rsidR="005E33AC" w:rsidRDefault="005E33AC" w:rsidP="005E33AC">
    <w:pPr>
      <w:pStyle w:val="bpuHeadSpon"/>
    </w:pPr>
    <w:r>
      <w:fldChar w:fldCharType="begin"/>
    </w:r>
    <w:r>
      <w:instrText xml:space="preserve"> PAGE  \* MERGEFORMAT </w:instrText>
    </w:r>
    <w:r>
      <w:fldChar w:fldCharType="separate"/>
    </w:r>
    <w:r w:rsidR="001B3EFE">
      <w:rPr>
        <w:noProof/>
      </w:rPr>
      <w:t>3</w:t>
    </w:r>
    <w:r>
      <w:fldChar w:fldCharType="end"/>
    </w:r>
  </w:p>
  <w:p w14:paraId="7914DA81" w14:textId="77777777" w:rsidR="005E33AC" w:rsidRDefault="005E33AC" w:rsidP="005E33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6AF11" w14:textId="78C62D5F" w:rsidR="00665CBC" w:rsidRDefault="00665CBC">
    <w:pPr>
      <w:pStyle w:val="Header"/>
    </w:pPr>
  </w:p>
  <w:p w14:paraId="65C78108" w14:textId="5A55134E" w:rsidR="005E33AC" w:rsidRDefault="005E33AC" w:rsidP="005E33AC">
    <w:pPr>
      <w:pStyle w:val="bpuHeadSpon"/>
    </w:pPr>
    <w:r w:rsidRPr="005E33AC">
      <w:rPr>
        <w:rStyle w:val="bpuHeadSponChar"/>
      </w:rPr>
      <w:t>S3242</w:t>
    </w:r>
    <w:r>
      <w:t xml:space="preserve"> </w:t>
    </w:r>
    <w:r w:rsidR="00F5534C">
      <w:t xml:space="preserve">[1R] </w:t>
    </w:r>
    <w:r>
      <w:t>CODEY, SACCO</w:t>
    </w:r>
  </w:p>
  <w:p w14:paraId="74DE2AB7" w14:textId="5F563E11" w:rsidR="005E33AC" w:rsidRDefault="005E33AC" w:rsidP="005E33AC">
    <w:pPr>
      <w:pStyle w:val="bpuHeadSpon"/>
    </w:pPr>
    <w:r>
      <w:fldChar w:fldCharType="begin"/>
    </w:r>
    <w:r>
      <w:instrText xml:space="preserve"> PAGE  \* MERGEFORMAT </w:instrText>
    </w:r>
    <w:r>
      <w:fldChar w:fldCharType="separate"/>
    </w:r>
    <w:r w:rsidR="001B3EFE">
      <w:rPr>
        <w:noProof/>
      </w:rPr>
      <w:t>2</w:t>
    </w:r>
    <w:r>
      <w:fldChar w:fldCharType="end"/>
    </w:r>
  </w:p>
  <w:p w14:paraId="1C61FD11" w14:textId="77777777" w:rsidR="005E33AC" w:rsidRDefault="005E33AC" w:rsidP="005E33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0599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957"/>
    <w:rsid w:val="00181676"/>
    <w:rsid w:val="00183603"/>
    <w:rsid w:val="0018410E"/>
    <w:rsid w:val="00194E78"/>
    <w:rsid w:val="0019707B"/>
    <w:rsid w:val="00197E8B"/>
    <w:rsid w:val="00197FA4"/>
    <w:rsid w:val="001A161A"/>
    <w:rsid w:val="001A3B79"/>
    <w:rsid w:val="001A66B6"/>
    <w:rsid w:val="001B061C"/>
    <w:rsid w:val="001B3EFE"/>
    <w:rsid w:val="001B4716"/>
    <w:rsid w:val="001B4EA4"/>
    <w:rsid w:val="001C004D"/>
    <w:rsid w:val="001C7C52"/>
    <w:rsid w:val="001D25F3"/>
    <w:rsid w:val="001E15F1"/>
    <w:rsid w:val="001E16FA"/>
    <w:rsid w:val="001E6213"/>
    <w:rsid w:val="001F14C7"/>
    <w:rsid w:val="001F7405"/>
    <w:rsid w:val="00205533"/>
    <w:rsid w:val="00212B8D"/>
    <w:rsid w:val="00222983"/>
    <w:rsid w:val="00227926"/>
    <w:rsid w:val="002370D0"/>
    <w:rsid w:val="00252954"/>
    <w:rsid w:val="00255958"/>
    <w:rsid w:val="00257FA2"/>
    <w:rsid w:val="0026574A"/>
    <w:rsid w:val="002660BB"/>
    <w:rsid w:val="002720E8"/>
    <w:rsid w:val="00275293"/>
    <w:rsid w:val="002776B0"/>
    <w:rsid w:val="00280CC5"/>
    <w:rsid w:val="00286C7E"/>
    <w:rsid w:val="002A1029"/>
    <w:rsid w:val="002A3A1A"/>
    <w:rsid w:val="002A4692"/>
    <w:rsid w:val="002A51BA"/>
    <w:rsid w:val="002B2E26"/>
    <w:rsid w:val="002B3FE6"/>
    <w:rsid w:val="002C2D81"/>
    <w:rsid w:val="002C461E"/>
    <w:rsid w:val="002C6CEC"/>
    <w:rsid w:val="002E09CE"/>
    <w:rsid w:val="002E69D1"/>
    <w:rsid w:val="002F3BA6"/>
    <w:rsid w:val="002F7BC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232"/>
    <w:rsid w:val="00455D51"/>
    <w:rsid w:val="00456BF9"/>
    <w:rsid w:val="00461057"/>
    <w:rsid w:val="004704A8"/>
    <w:rsid w:val="00471102"/>
    <w:rsid w:val="00471F18"/>
    <w:rsid w:val="00484144"/>
    <w:rsid w:val="00484C19"/>
    <w:rsid w:val="00485866"/>
    <w:rsid w:val="00492076"/>
    <w:rsid w:val="004930C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5FC"/>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3AC"/>
    <w:rsid w:val="005E50C6"/>
    <w:rsid w:val="005F2A97"/>
    <w:rsid w:val="005F399B"/>
    <w:rsid w:val="006019F8"/>
    <w:rsid w:val="00602754"/>
    <w:rsid w:val="00605B20"/>
    <w:rsid w:val="00606A8D"/>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8F5"/>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328E"/>
    <w:rsid w:val="007C7DE4"/>
    <w:rsid w:val="007D40CB"/>
    <w:rsid w:val="007D5796"/>
    <w:rsid w:val="007D59C0"/>
    <w:rsid w:val="007D7D9C"/>
    <w:rsid w:val="007F485D"/>
    <w:rsid w:val="007F6050"/>
    <w:rsid w:val="00805ADB"/>
    <w:rsid w:val="00813627"/>
    <w:rsid w:val="00821C6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6A"/>
    <w:rsid w:val="00917FE3"/>
    <w:rsid w:val="00921FBC"/>
    <w:rsid w:val="009318C7"/>
    <w:rsid w:val="00931C09"/>
    <w:rsid w:val="009348C2"/>
    <w:rsid w:val="0094171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EA7"/>
    <w:rsid w:val="00A11228"/>
    <w:rsid w:val="00A222C2"/>
    <w:rsid w:val="00A305D6"/>
    <w:rsid w:val="00A342C4"/>
    <w:rsid w:val="00A50F6B"/>
    <w:rsid w:val="00A52237"/>
    <w:rsid w:val="00A551D6"/>
    <w:rsid w:val="00A6251B"/>
    <w:rsid w:val="00A6754E"/>
    <w:rsid w:val="00A70A79"/>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AB6"/>
    <w:rsid w:val="00AF0DB9"/>
    <w:rsid w:val="00AF1A8C"/>
    <w:rsid w:val="00B0116D"/>
    <w:rsid w:val="00B01173"/>
    <w:rsid w:val="00B02F35"/>
    <w:rsid w:val="00B05254"/>
    <w:rsid w:val="00B05A3C"/>
    <w:rsid w:val="00B07100"/>
    <w:rsid w:val="00B1138C"/>
    <w:rsid w:val="00B2574A"/>
    <w:rsid w:val="00B2731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F9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56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376"/>
    <w:rsid w:val="00E93836"/>
    <w:rsid w:val="00EA7C16"/>
    <w:rsid w:val="00EB265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5A3"/>
    <w:rsid w:val="00F40FC9"/>
    <w:rsid w:val="00F41A9D"/>
    <w:rsid w:val="00F44314"/>
    <w:rsid w:val="00F54B9C"/>
    <w:rsid w:val="00F5534C"/>
    <w:rsid w:val="00F56E96"/>
    <w:rsid w:val="00F573DD"/>
    <w:rsid w:val="00F61E59"/>
    <w:rsid w:val="00F63D99"/>
    <w:rsid w:val="00F6426B"/>
    <w:rsid w:val="00F709B3"/>
    <w:rsid w:val="00F71A5E"/>
    <w:rsid w:val="00F80AAC"/>
    <w:rsid w:val="00FA0AFC"/>
    <w:rsid w:val="00FA1C82"/>
    <w:rsid w:val="00FA2ED1"/>
    <w:rsid w:val="00FA4A52"/>
    <w:rsid w:val="00FA53F3"/>
    <w:rsid w:val="00FB4045"/>
    <w:rsid w:val="00FB4D8E"/>
    <w:rsid w:val="00FC0D0A"/>
    <w:rsid w:val="00FC1B0B"/>
    <w:rsid w:val="00FC59C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2E91CA"/>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028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28F5"/>
    <w:rPr>
      <w:rFonts w:ascii="Segoe UI" w:hAnsi="Segoe UI" w:cs="Segoe UI"/>
      <w:spacing w:val="4"/>
      <w:sz w:val="18"/>
      <w:szCs w:val="18"/>
    </w:rPr>
  </w:style>
  <w:style w:type="character" w:styleId="LineNumber">
    <w:name w:val="line number"/>
    <w:basedOn w:val="DefaultParagraphFont"/>
    <w:semiHidden/>
    <w:unhideWhenUsed/>
    <w:rsid w:val="005E3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47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586</Words>
  <Characters>3098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S3242</vt:lpstr>
    </vt:vector>
  </TitlesOfParts>
  <Manager>R225</Manager>
  <Company>NJ Office of Legislative Services</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S3242 1R</dc:title>
  <dc:subject/>
  <dc:creator>Senator  CODEY, Senator  SACCO</dc:creator>
  <cp:keywords>S3242|3|SG |76|216|310|!|0|</cp:keywords>
  <dc:description>INTRODUCED DECEMBER 10, 2020_x000d_
Amended 2/19/21</dc:description>
  <cp:lastModifiedBy>Siracusa, Nicole</cp:lastModifiedBy>
  <cp:revision>2</cp:revision>
  <cp:lastPrinted>2020-12-08T19:29:00Z</cp:lastPrinted>
  <dcterms:created xsi:type="dcterms:W3CDTF">2021-02-22T14:45:00Z</dcterms:created>
  <dcterms:modified xsi:type="dcterms:W3CDTF">2021-02-22T14:45:00Z</dcterms:modified>
  <cp:category>s.2: C.52:17B-2.1_x000d_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