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54A2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54A2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3289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54A2C">
        <w:rPr>
          <w:caps/>
          <w:szCs w:val="24"/>
        </w:rPr>
        <w:t>JANUARY 14, 2021</w:t>
      </w:r>
    </w:p>
    <w:p w:rsidR="004144CF" w:rsidRDefault="004144CF" w:rsidP="0083060A"/>
    <w:p w:rsidR="00D15058" w:rsidRPr="006B565F" w:rsidRDefault="00D15058" w:rsidP="00D15058">
      <w:r>
        <w:tab/>
        <w:t>The Senate Economic Growth Committee reports favorably Senate Bill No. 3289</w:t>
      </w:r>
      <w:r w:rsidRPr="006B565F">
        <w:t>.</w:t>
      </w:r>
    </w:p>
    <w:p w:rsidR="004B2ABF" w:rsidRDefault="00D15058" w:rsidP="00F336A6">
      <w:r>
        <w:tab/>
        <w:t>As reported, this bill requires the Board of Public Utilities (BPU) to adopt rules and regulations requiring an electric public utility (utility) to establish</w:t>
      </w:r>
      <w:r w:rsidRPr="008D5A24">
        <w:t xml:space="preserve"> a timeline</w:t>
      </w:r>
      <w:r>
        <w:t>,</w:t>
      </w:r>
      <w:r w:rsidRPr="008D5A24">
        <w:t xml:space="preserve"> not to exceed 36 months</w:t>
      </w:r>
      <w:r>
        <w:t>,</w:t>
      </w:r>
      <w:r w:rsidRPr="008D5A24">
        <w:t xml:space="preserve"> for the replacement of </w:t>
      </w:r>
      <w:r>
        <w:t>the utility’s “back yard distribution equipment,” as defined in the bill, within a municipality if</w:t>
      </w:r>
      <w:r w:rsidRPr="008D5A24">
        <w:t xml:space="preserve"> </w:t>
      </w:r>
      <w:r>
        <w:t>the utility provides electric distribution service</w:t>
      </w:r>
      <w:r w:rsidRPr="008D5A24">
        <w:t xml:space="preserve"> </w:t>
      </w:r>
      <w:r>
        <w:t xml:space="preserve">using back yard distribution equipment to </w:t>
      </w:r>
      <w:r w:rsidRPr="008D5A24">
        <w:t>at least 50</w:t>
      </w:r>
      <w:r>
        <w:t xml:space="preserve"> percent of the residences of the municipality</w:t>
      </w:r>
      <w:r w:rsidRPr="008D5A24">
        <w:t xml:space="preserve"> and </w:t>
      </w:r>
      <w:r>
        <w:t>if</w:t>
      </w:r>
      <w:r w:rsidRPr="008D5A24">
        <w:t xml:space="preserve"> </w:t>
      </w:r>
      <w:r>
        <w:t>residential customers provided with electric distribution service</w:t>
      </w:r>
      <w:r w:rsidRPr="008D5A24">
        <w:t xml:space="preserve"> </w:t>
      </w:r>
      <w:r>
        <w:t xml:space="preserve">using back yard distribution equipment within that municipality reported to the utility </w:t>
      </w:r>
      <w:r w:rsidRPr="008D5A24">
        <w:t xml:space="preserve">at least 250 incidents </w:t>
      </w:r>
      <w:r>
        <w:t>of a “sustained service interruption,” as defined in the bill, each year for the previous five-</w:t>
      </w:r>
      <w:r w:rsidRPr="008D5A24">
        <w:t xml:space="preserve">year period.  </w:t>
      </w:r>
      <w:r>
        <w:t>An electric public utility providing electric distribution service</w:t>
      </w:r>
      <w:r w:rsidRPr="008D5A24">
        <w:t xml:space="preserve"> </w:t>
      </w:r>
      <w:r>
        <w:t xml:space="preserve">using back yard distribution equipment to </w:t>
      </w:r>
      <w:r w:rsidRPr="008D5A24">
        <w:t>at least 50</w:t>
      </w:r>
      <w:r>
        <w:t xml:space="preserve"> percent of the residences of a municipality shall annually provide notice to the board, as determined by the board, of the number of </w:t>
      </w:r>
      <w:r w:rsidRPr="008D5A24">
        <w:t xml:space="preserve">incidents </w:t>
      </w:r>
      <w:r>
        <w:t>during the prior year of a sustained service interruption reported by the utility’s residential customers provided with electric distribution service</w:t>
      </w:r>
      <w:r w:rsidRPr="008D5A24">
        <w:t xml:space="preserve"> </w:t>
      </w:r>
      <w:r>
        <w:t>using back yard distribution equipment within that municipality.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A2C" w:rsidRDefault="00254A2C">
      <w:r>
        <w:separator/>
      </w:r>
    </w:p>
  </w:endnote>
  <w:endnote w:type="continuationSeparator" w:id="0">
    <w:p w:rsidR="00254A2C" w:rsidRDefault="00254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A2C" w:rsidRDefault="00254A2C">
      <w:r>
        <w:separator/>
      </w:r>
    </w:p>
  </w:footnote>
  <w:footnote w:type="continuationSeparator" w:id="0">
    <w:p w:rsidR="00254A2C" w:rsidRDefault="00254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336A6" w:rsidP="00F336A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336A6" w:rsidRDefault="00F336A6" w:rsidP="00F336A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A2C"/>
    <w:rsid w:val="0000262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1100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2FF2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4A2C"/>
    <w:rsid w:val="00263BD8"/>
    <w:rsid w:val="002746A3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4CE4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4DD3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4C00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5058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36A6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6BD0594D-4311-4710-80B8-DEB4776C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211</Words>
  <Characters>1213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S3289 ESEG Statement 1/14/21</vt:lpstr>
    </vt:vector>
  </TitlesOfParts>
  <Manager>R230</Manager>
  <Company>NJ OLS DMU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S3289 SEG Statement 1/14/21</dc:title>
  <dc:subject/>
  <dc:creator>Senate SEG</dc:creator>
  <cp:keywords>S3289|1|AU |323|0|0|!||</cp:keywords>
  <dc:description/>
  <cp:lastModifiedBy>Bektas, Brenda</cp:lastModifiedBy>
  <cp:revision>2</cp:revision>
  <cp:lastPrinted>1999-09-30T17:29:00Z</cp:lastPrinted>
  <dcterms:created xsi:type="dcterms:W3CDTF">2021-01-15T16:11:00Z</dcterms:created>
  <dcterms:modified xsi:type="dcterms:W3CDTF">2021-01-15T16:11:00Z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