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96E22" w:rsidP="00407C9E">
      <w:pPr>
        <w:pStyle w:val="NoteOrEstimate"/>
      </w:pPr>
      <w:r>
        <w:t>LEGISLATIVE FISCAL ESTIMATE</w:t>
      </w:r>
    </w:p>
    <w:p w:rsidR="00496E22" w:rsidRPr="00496E22" w:rsidRDefault="00496E22" w:rsidP="00496E22">
      <w:pPr>
        <w:pStyle w:val="Reprint"/>
      </w:pPr>
      <w:r>
        <w:t>[First Reprint]</w:t>
      </w:r>
    </w:p>
    <w:p w:rsidR="003C5892" w:rsidRDefault="00496E2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3305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B52F0" w:rsidP="00EB52F0">
      <w:pPr>
        <w:pStyle w:val="BillNo"/>
      </w:pPr>
      <w:r>
        <w:t>219th LEGISLATURE</w:t>
      </w:r>
    </w:p>
    <w:p w:rsidR="00353325" w:rsidRDefault="00353325" w:rsidP="00353325"/>
    <w:p w:rsidR="00EB52F0" w:rsidRDefault="00EB52F0" w:rsidP="00EB52F0">
      <w:pPr>
        <w:jc w:val="center"/>
      </w:pPr>
      <w:r>
        <w:t>DATED: JANUARY 29, 2021</w:t>
      </w:r>
    </w:p>
    <w:p w:rsidR="00EB52F0" w:rsidRDefault="00EB52F0" w:rsidP="00353325"/>
    <w:p w:rsidR="00EB52F0" w:rsidRDefault="00EB52F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E3E08" w:rsidP="00515AC5">
            <w:r>
              <w:t xml:space="preserve">Allows </w:t>
            </w:r>
            <w:r w:rsidRPr="007E3E08">
              <w:t>tax credit</w:t>
            </w:r>
            <w:r>
              <w:t>s</w:t>
            </w:r>
            <w:r w:rsidRPr="007E3E08">
              <w:t xml:space="preserve"> for nonresidential building improvement expenses to reduce spread of COVID-19.</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B3C8C" w:rsidP="00515AC5">
            <w:r>
              <w:t xml:space="preserve">State </w:t>
            </w:r>
            <w:r w:rsidR="00CC2A01">
              <w:t>revenue</w:t>
            </w:r>
            <w:r>
              <w:t xml:space="preserve"> loss</w:t>
            </w:r>
            <w:r w:rsidR="00CC2A01">
              <w:t xml:space="preserve"> to the General Fund and Property Tax Relief Fund</w:t>
            </w:r>
            <w:r w:rsidR="00CA0A85">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C2A01" w:rsidP="00515AC5">
            <w:r>
              <w:t xml:space="preserve">Department of </w:t>
            </w:r>
            <w:r w:rsidR="002B3C8C">
              <w:t xml:space="preserve">the </w:t>
            </w:r>
            <w:r>
              <w:t>Treasury</w:t>
            </w:r>
            <w:r w:rsidR="002B3C8C">
              <w:t>, Division of Taxation.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952"/>
        <w:gridCol w:w="5259"/>
        <w:gridCol w:w="164"/>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E344B" w:rsidTr="008A089B">
        <w:tblPrEx>
          <w:tblBorders>
            <w:top w:val="single" w:sz="6" w:space="0" w:color="auto"/>
            <w:left w:val="single" w:sz="6" w:space="0" w:color="auto"/>
            <w:bottom w:val="single" w:sz="4" w:space="0" w:color="auto"/>
            <w:right w:val="single" w:sz="6" w:space="0" w:color="auto"/>
            <w:insideH w:val="single" w:sz="12" w:space="0" w:color="auto"/>
          </w:tblBorders>
        </w:tblPrEx>
        <w:trPr>
          <w:gridAfter w:val="1"/>
          <w:wAfter w:w="164" w:type="dxa"/>
          <w:trHeight w:val="391"/>
        </w:trPr>
        <w:tc>
          <w:tcPr>
            <w:tcW w:w="3952" w:type="dxa"/>
            <w:shd w:val="pct20" w:color="auto" w:fill="auto"/>
            <w:vAlign w:val="bottom"/>
          </w:tcPr>
          <w:p w:rsidR="009E344B" w:rsidRPr="00F11982" w:rsidRDefault="009E344B" w:rsidP="008A089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259" w:type="dxa"/>
            <w:shd w:val="pct20" w:color="auto" w:fill="auto"/>
            <w:vAlign w:val="bottom"/>
          </w:tcPr>
          <w:p w:rsidR="009E344B" w:rsidRPr="00F11982" w:rsidRDefault="00952DAC" w:rsidP="008A089B">
            <w:pPr>
              <w:tabs>
                <w:tab w:val="left" w:pos="360"/>
                <w:tab w:val="left" w:pos="720"/>
                <w:tab w:val="left" w:pos="1440"/>
                <w:tab w:val="left" w:pos="2160"/>
                <w:tab w:val="left" w:pos="2880"/>
                <w:tab w:val="left" w:pos="3600"/>
                <w:tab w:val="left" w:pos="4320"/>
                <w:tab w:val="left" w:pos="5040"/>
              </w:tabs>
              <w:jc w:val="center"/>
              <w:rPr>
                <w:b/>
              </w:rPr>
            </w:pPr>
            <w:r>
              <w:rPr>
                <w:b/>
                <w:u w:val="single"/>
              </w:rPr>
              <w:t>FY 2021-FY 2030</w:t>
            </w:r>
            <w:r w:rsidR="009E344B" w:rsidRPr="00F11982">
              <w:rPr>
                <w:b/>
              </w:rPr>
              <w:t xml:space="preserve">  </w:t>
            </w:r>
          </w:p>
        </w:tc>
      </w:tr>
      <w:tr w:rsidR="009E344B" w:rsidTr="008A089B">
        <w:tblPrEx>
          <w:tblBorders>
            <w:top w:val="single" w:sz="6" w:space="0" w:color="auto"/>
            <w:left w:val="single" w:sz="6" w:space="0" w:color="auto"/>
            <w:bottom w:val="single" w:sz="4" w:space="0" w:color="auto"/>
            <w:right w:val="single" w:sz="6" w:space="0" w:color="auto"/>
            <w:insideH w:val="single" w:sz="12" w:space="0" w:color="auto"/>
          </w:tblBorders>
        </w:tblPrEx>
        <w:trPr>
          <w:gridAfter w:val="1"/>
          <w:wAfter w:w="164" w:type="dxa"/>
          <w:trHeight w:val="391"/>
        </w:trPr>
        <w:tc>
          <w:tcPr>
            <w:tcW w:w="3952" w:type="dxa"/>
            <w:tcMar>
              <w:bottom w:w="29" w:type="dxa"/>
            </w:tcMar>
            <w:vAlign w:val="bottom"/>
          </w:tcPr>
          <w:p w:rsidR="009E344B" w:rsidRPr="00F11982" w:rsidRDefault="009E344B" w:rsidP="008A089B">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5259" w:type="dxa"/>
            <w:tcMar>
              <w:bottom w:w="29" w:type="dxa"/>
            </w:tcMar>
            <w:vAlign w:val="bottom"/>
          </w:tcPr>
          <w:p w:rsidR="009E344B" w:rsidRDefault="009E344B" w:rsidP="008A089B">
            <w:pPr>
              <w:tabs>
                <w:tab w:val="left" w:pos="360"/>
                <w:tab w:val="left" w:pos="720"/>
                <w:tab w:val="left" w:pos="1440"/>
                <w:tab w:val="left" w:pos="2160"/>
                <w:tab w:val="left" w:pos="2880"/>
                <w:tab w:val="left" w:pos="3600"/>
                <w:tab w:val="left" w:pos="4320"/>
                <w:tab w:val="left" w:pos="5040"/>
              </w:tabs>
              <w:jc w:val="center"/>
            </w:pPr>
            <w:r>
              <w:t xml:space="preserve">Indeterminate </w:t>
            </w: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52DAC" w:rsidRDefault="00952DAC" w:rsidP="00EB52F0">
      <w:pPr>
        <w:pStyle w:val="StyleBulletedSymbolsymbol"/>
        <w:spacing w:after="0"/>
      </w:pPr>
      <w:r>
        <w:t>The Office of Legislative Services (OLS) projects that this bill will result in an indeterminate loss of revenue to the Property Tax Relief Fund and General Fund</w:t>
      </w:r>
      <w:r w:rsidR="00231E32">
        <w:t xml:space="preserve">.  </w:t>
      </w:r>
      <w:r w:rsidR="00EA1F77" w:rsidRPr="00EA1F77">
        <w:t xml:space="preserve">Additionally, taxpayers can carry the tax credits forward up to seven privilege periods or seven taxable years thereby increasing the timespan for which this bill can affect revenues.    </w:t>
      </w:r>
    </w:p>
    <w:p w:rsidR="00EB52F0" w:rsidRDefault="00EB52F0" w:rsidP="00EB52F0">
      <w:pPr>
        <w:pStyle w:val="StyleBulletedSymbolsymbol"/>
        <w:numPr>
          <w:ilvl w:val="0"/>
          <w:numId w:val="0"/>
        </w:numPr>
        <w:spacing w:after="0"/>
        <w:ind w:left="360" w:hanging="360"/>
      </w:pPr>
    </w:p>
    <w:p w:rsidR="00952DAC" w:rsidRDefault="00952DAC" w:rsidP="00EB52F0">
      <w:pPr>
        <w:pStyle w:val="StyleBulletedSymbolsymbol"/>
        <w:spacing w:after="0"/>
      </w:pPr>
      <w:r w:rsidRPr="00753E8B">
        <w:t>The OLS does not have data on how many taxpayers have more or less than 30,000 square feet for a work location</w:t>
      </w:r>
      <w:r>
        <w:t xml:space="preserve"> and</w:t>
      </w:r>
      <w:r w:rsidRPr="00753E8B">
        <w:t xml:space="preserve"> cannot project how many taxpayers will utilize the tax credit and how much</w:t>
      </w:r>
      <w:r w:rsidR="001559DB">
        <w:t xml:space="preserve"> they will spend</w:t>
      </w:r>
      <w:r w:rsidRPr="00753E8B">
        <w:t xml:space="preserve"> on nonresidential building improvements to prevent the spread of the COVID-19 virus.  </w:t>
      </w:r>
    </w:p>
    <w:p w:rsidR="00EB52F0" w:rsidRDefault="00EB52F0" w:rsidP="00EB52F0">
      <w:pPr>
        <w:pStyle w:val="StyleBulletedSymbolsymbol"/>
        <w:numPr>
          <w:ilvl w:val="0"/>
          <w:numId w:val="0"/>
        </w:numPr>
        <w:spacing w:after="0"/>
        <w:ind w:left="360" w:hanging="360"/>
      </w:pPr>
    </w:p>
    <w:p w:rsidR="00952DAC" w:rsidRDefault="001559DB" w:rsidP="00EB52F0">
      <w:pPr>
        <w:pStyle w:val="StyleBulletedSymbolsymbol"/>
        <w:spacing w:after="0"/>
      </w:pPr>
      <w:r>
        <w:t>The OLS note</w:t>
      </w:r>
      <w:r w:rsidR="00952DAC">
        <w:t>s that to the</w:t>
      </w:r>
      <w:r w:rsidR="00952DAC" w:rsidRPr="00753E8B">
        <w:t xml:space="preserve"> extent that these tax credits allow taxpayers to save on costs on building improvements to prevent the spread of the virus, and therefore allow more investment that can generate economic growth, this could result in additional revenue.  </w:t>
      </w:r>
    </w:p>
    <w:p w:rsidR="00EB52F0" w:rsidRDefault="00EB52F0" w:rsidP="00EB52F0">
      <w:pPr>
        <w:pStyle w:val="StyleBulletedSymbolsymbol"/>
        <w:numPr>
          <w:ilvl w:val="0"/>
          <w:numId w:val="0"/>
        </w:numPr>
        <w:spacing w:after="0"/>
        <w:ind w:left="360" w:hanging="360"/>
      </w:pPr>
    </w:p>
    <w:p w:rsidR="00EB52F0" w:rsidRDefault="00952DAC" w:rsidP="00EB52F0">
      <w:pPr>
        <w:pStyle w:val="StyleBulletedSymbolsymbol"/>
        <w:spacing w:after="0"/>
      </w:pPr>
      <w:r w:rsidRPr="00753E8B">
        <w:t>Furthermore, to the extent that these tax credits allow taxpayers to keep their work places open in response to the virus and the government’s subsequent response, this can also generate economic growth and result in additional revenue.</w:t>
      </w:r>
      <w:r w:rsidR="00EB52F0" w:rsidRPr="00EB52F0">
        <w:rPr>
          <w:b/>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F228C" w:rsidRDefault="00255944" w:rsidP="009F228C">
      <w:pPr>
        <w:tabs>
          <w:tab w:val="left" w:pos="360"/>
          <w:tab w:val="left" w:pos="720"/>
          <w:tab w:val="left" w:pos="1440"/>
          <w:tab w:val="left" w:pos="2160"/>
          <w:tab w:val="left" w:pos="2880"/>
          <w:tab w:val="left" w:pos="3600"/>
          <w:tab w:val="left" w:pos="4320"/>
          <w:tab w:val="left" w:pos="5040"/>
        </w:tabs>
      </w:pPr>
      <w:r w:rsidRPr="00255944">
        <w:tab/>
      </w:r>
      <w:r w:rsidR="009F228C">
        <w:t>This bill provides gross income tax</w:t>
      </w:r>
      <w:r w:rsidR="00FA7914">
        <w:t xml:space="preserve"> and corporation business tax</w:t>
      </w:r>
      <w:r w:rsidR="009F228C">
        <w:t xml:space="preserve"> credits to taxpayers for nonresidential building improvement expenses in tax years 2020, 2021, and 2022 to prevent the spread of the COVID-19 virus. The eligible expenses include bi-polar ionization and ultraviolet lighting to disinfect indoor air and surfaces, including in elevators and work areas; infrared thermometers for screening visitors in common areas; transparent sneeze guards or shields; touchless entryway and security; ventilation; and other </w:t>
      </w:r>
      <w:r w:rsidR="00A46F6D">
        <w:t xml:space="preserve">materials, supplies, and </w:t>
      </w:r>
      <w:r w:rsidR="009F228C">
        <w:t>equipment to reduce the spread of COVID-19 and necessary to create a safe environment for employers and employees to return to the</w:t>
      </w:r>
      <w:r w:rsidR="006C0271">
        <w:t xml:space="preserve">ir work spaces.  </w:t>
      </w:r>
      <w:r w:rsidR="00A46F6D">
        <w:t>The</w:t>
      </w:r>
      <w:r w:rsidR="00D70931">
        <w:t xml:space="preserve"> bill allows a</w:t>
      </w:r>
      <w:r w:rsidR="00A46F6D">
        <w:t xml:space="preserve"> </w:t>
      </w:r>
      <w:r w:rsidR="00FF4214">
        <w:t>taxpayer to</w:t>
      </w:r>
      <w:r w:rsidR="00A46F6D">
        <w:t xml:space="preserve"> carry forward any unused amount of the </w:t>
      </w:r>
      <w:r w:rsidR="00FF4214">
        <w:t>credit for</w:t>
      </w:r>
      <w:r w:rsidR="00A46F6D">
        <w:t xml:space="preserve"> up to seven privilege periods or seven taxable years after the taxable year or privilege period for which the credit was allowed.  </w:t>
      </w:r>
    </w:p>
    <w:p w:rsidR="00255944" w:rsidRDefault="009F228C" w:rsidP="009F228C">
      <w:pPr>
        <w:tabs>
          <w:tab w:val="left" w:pos="360"/>
          <w:tab w:val="left" w:pos="720"/>
          <w:tab w:val="left" w:pos="1440"/>
          <w:tab w:val="left" w:pos="2160"/>
          <w:tab w:val="left" w:pos="2880"/>
          <w:tab w:val="left" w:pos="3600"/>
          <w:tab w:val="left" w:pos="4320"/>
          <w:tab w:val="left" w:pos="5040"/>
        </w:tabs>
      </w:pPr>
      <w:r>
        <w:tab/>
        <w:t>The amount of credit allowed in this bill is equal to 75 percent of the taxpayer’s expenditures for a work space of less than 30,000 square feet, but the credit for such expenditures cannot exceed $100,000; and 50 percent of the taxpayer’s expenditures for a work space of 30,000 square feet or more, but the credit for such expenditures cannot exceed $250,000.</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B52F0" w:rsidRDefault="00EB52F0"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1100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044F1" w:rsidRDefault="00255944" w:rsidP="006842C7">
      <w:pPr>
        <w:tabs>
          <w:tab w:val="left" w:pos="360"/>
          <w:tab w:val="left" w:pos="720"/>
          <w:tab w:val="left" w:pos="1440"/>
          <w:tab w:val="left" w:pos="2160"/>
          <w:tab w:val="left" w:pos="2880"/>
          <w:tab w:val="left" w:pos="3600"/>
          <w:tab w:val="left" w:pos="4320"/>
          <w:tab w:val="left" w:pos="5040"/>
        </w:tabs>
      </w:pPr>
      <w:r>
        <w:tab/>
      </w:r>
      <w:r w:rsidR="006842C7">
        <w:t xml:space="preserve">The OLS projects that this bill will result in an indeterminate loss of revenue to the Property Tax Relief Fund and the General Fund.  </w:t>
      </w:r>
      <w:r w:rsidR="007044F1">
        <w:t xml:space="preserve">Any revenue loss will be: a) temporally limited because the tax credit applies to expenditures made during 2020, 2021, 2022 only; and b) spread out over several years, as the bill allows unused tax credits to be </w:t>
      </w:r>
      <w:r w:rsidR="00C6252C">
        <w:t>carried forward for up to seven tax years of privilege periods.</w:t>
      </w:r>
    </w:p>
    <w:p w:rsidR="0063704D" w:rsidRDefault="007044F1" w:rsidP="006842C7">
      <w:pPr>
        <w:tabs>
          <w:tab w:val="left" w:pos="360"/>
          <w:tab w:val="left" w:pos="720"/>
          <w:tab w:val="left" w:pos="1440"/>
          <w:tab w:val="left" w:pos="2160"/>
          <w:tab w:val="left" w:pos="2880"/>
          <w:tab w:val="left" w:pos="3600"/>
          <w:tab w:val="left" w:pos="4320"/>
          <w:tab w:val="left" w:pos="5040"/>
        </w:tabs>
      </w:pPr>
      <w:r>
        <w:tab/>
      </w:r>
      <w:r w:rsidR="006842C7">
        <w:t xml:space="preserve">The OLS does not have data on how many taxpayers have more or less than 30,000 square feet for a work location.  Additionally, the OLS cannot project how many taxpayers will utilize the tax credit and how much </w:t>
      </w:r>
      <w:r w:rsidR="00886ABF">
        <w:t xml:space="preserve">they will spend </w:t>
      </w:r>
      <w:r w:rsidR="006842C7">
        <w:t>on nonresidential building improvements to prevent the spread of the COVID-19 virus.  Because these credits apply to the gross income tax and the corporation business tax, the utilization by taxpayers will result in a loss of revenue to the Property Tax Relief Fund and the General Fund.</w:t>
      </w:r>
      <w:r w:rsidR="000B5846">
        <w:t xml:space="preserve">  </w:t>
      </w:r>
      <w:r w:rsidR="00461772">
        <w:t xml:space="preserve">The </w:t>
      </w:r>
      <w:r w:rsidR="00DA33D1">
        <w:t>revenue loss will be temporally</w:t>
      </w:r>
      <w:r w:rsidR="00461772">
        <w:t xml:space="preserve"> limited because the tax credit only applies to expenditures made during 2020, 2021, and 2022, and will be spread out over several years because the bill allows unused tax credits to be carried forward for up to seven tax years or privilege periods.  </w:t>
      </w:r>
    </w:p>
    <w:p w:rsidR="00255944" w:rsidRDefault="0063704D" w:rsidP="006842C7">
      <w:pPr>
        <w:tabs>
          <w:tab w:val="left" w:pos="360"/>
          <w:tab w:val="left" w:pos="720"/>
          <w:tab w:val="left" w:pos="1440"/>
          <w:tab w:val="left" w:pos="2160"/>
          <w:tab w:val="left" w:pos="2880"/>
          <w:tab w:val="left" w:pos="3600"/>
          <w:tab w:val="left" w:pos="4320"/>
          <w:tab w:val="left" w:pos="5040"/>
        </w:tabs>
      </w:pPr>
      <w:r>
        <w:tab/>
        <w:t>The OLS notes that t</w:t>
      </w:r>
      <w:r w:rsidR="00CD1AC0">
        <w:t>o</w:t>
      </w:r>
      <w:r w:rsidR="006842C7">
        <w:t xml:space="preserve"> the extent that these tax credits allow taxpayers to save on costs on building improvements to prevent the spread of the virus, and therefore allow more investment that can generate economic growth, this could result in additional revenue.  Furthermore, to the extent that these tax credits allow taxpayers to keep their work places open in response to the virus and the government’s subsequent response, this can also generate economic growth and result in additional revenue.</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C465F8">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63704D" w:rsidP="00EF17BC">
            <w:pPr>
              <w:pStyle w:val="10pointItalics"/>
              <w:rPr>
                <w:sz w:val="24"/>
              </w:rPr>
            </w:pPr>
            <w:r>
              <w:t>Revenue, Finance</w:t>
            </w:r>
            <w:r w:rsidR="00456F5B">
              <w:t xml:space="preserve"> and Appropriations</w:t>
            </w:r>
          </w:p>
        </w:tc>
      </w:tr>
      <w:tr w:rsidR="00EF17BC" w:rsidTr="00C465F8">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56F5B" w:rsidP="00EF17BC">
            <w:pPr>
              <w:pStyle w:val="10pointItalics"/>
            </w:pPr>
            <w:bookmarkStart w:id="2" w:name="UserFullName"/>
            <w:bookmarkEnd w:id="2"/>
            <w:r>
              <w:t xml:space="preserve">Parag Shende </w:t>
            </w:r>
          </w:p>
          <w:p w:rsidR="00EF17BC" w:rsidRDefault="00456F5B" w:rsidP="00456F5B">
            <w:pPr>
              <w:pStyle w:val="10pointItalics"/>
              <w:rPr>
                <w:sz w:val="24"/>
              </w:rPr>
            </w:pPr>
            <w:r>
              <w:t>Associate Fiscal Analyst</w:t>
            </w:r>
          </w:p>
        </w:tc>
      </w:tr>
      <w:tr w:rsidR="00EF17BC" w:rsidTr="00C465F8">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C465F8" w:rsidRDefault="00C465F8" w:rsidP="00EF17BC">
      <w:pPr>
        <w:spacing w:line="287" w:lineRule="atLeast"/>
      </w:pPr>
    </w:p>
    <w:p w:rsidR="00EF17BC" w:rsidRDefault="00496E2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96E2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B52F0">
      <w:headerReference w:type="default" r:id="rId8"/>
      <w:footerReference w:type="first" r:id="rId9"/>
      <w:pgSz w:w="12240" w:h="20160" w:code="5"/>
      <w:pgMar w:top="1440" w:right="1440" w:bottom="1800" w:left="1440" w:header="144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CBB" w:rsidRDefault="003B6CBB">
      <w:r>
        <w:separator/>
      </w:r>
    </w:p>
  </w:endnote>
  <w:endnote w:type="continuationSeparator" w:id="0">
    <w:p w:rsidR="003B6CBB" w:rsidRDefault="003B6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B048E">
          <w:pPr>
            <w:pStyle w:val="Footer"/>
          </w:pPr>
          <w:r>
            <w:rPr>
              <w:noProof/>
              <w:sz w:val="20"/>
              <w:szCs w:val="20"/>
            </w:rPr>
            <w:object w:dxaOrig="1440" w:dyaOrig="1440" w14:anchorId="4C3B48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34233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CBB" w:rsidRDefault="003B6CBB">
      <w:r>
        <w:separator/>
      </w:r>
    </w:p>
  </w:footnote>
  <w:footnote w:type="continuationSeparator" w:id="0">
    <w:p w:rsidR="003B6CBB" w:rsidRDefault="003B6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E22" w:rsidRDefault="00496E22" w:rsidP="00496E22">
    <w:pPr>
      <w:pStyle w:val="Header"/>
      <w:jc w:val="center"/>
    </w:pPr>
    <w:r>
      <w:t>F</w:t>
    </w:r>
    <w:r w:rsidR="00EB52F0">
      <w:t>E to S</w:t>
    </w:r>
    <w:r>
      <w:t>3305 [1R]</w:t>
    </w:r>
  </w:p>
  <w:p w:rsidR="00496E22" w:rsidRDefault="00496E22" w:rsidP="00496E22">
    <w:pPr>
      <w:pStyle w:val="Header"/>
      <w:jc w:val="center"/>
    </w:pPr>
    <w:r>
      <w:fldChar w:fldCharType="begin"/>
    </w:r>
    <w:r>
      <w:instrText xml:space="preserve"> PAGE  \* MERGEFORMAT </w:instrText>
    </w:r>
    <w:r>
      <w:fldChar w:fldCharType="separate"/>
    </w:r>
    <w:r w:rsidR="00EB048E">
      <w:rPr>
        <w:noProof/>
      </w:rPr>
      <w:t>3</w:t>
    </w:r>
    <w:r>
      <w:fldChar w:fldCharType="end"/>
    </w:r>
  </w:p>
  <w:p w:rsidR="00496E22" w:rsidRDefault="00496E22" w:rsidP="00496E2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E22"/>
    <w:rsid w:val="00011EDD"/>
    <w:rsid w:val="00013973"/>
    <w:rsid w:val="000333DF"/>
    <w:rsid w:val="00036860"/>
    <w:rsid w:val="00042B0B"/>
    <w:rsid w:val="00057A85"/>
    <w:rsid w:val="000629F9"/>
    <w:rsid w:val="000701B0"/>
    <w:rsid w:val="00070F62"/>
    <w:rsid w:val="000820F8"/>
    <w:rsid w:val="0008691D"/>
    <w:rsid w:val="00095290"/>
    <w:rsid w:val="000A16EC"/>
    <w:rsid w:val="000B1CCB"/>
    <w:rsid w:val="000B5846"/>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50DF"/>
    <w:rsid w:val="001559DB"/>
    <w:rsid w:val="00157AED"/>
    <w:rsid w:val="00157CC3"/>
    <w:rsid w:val="00164C11"/>
    <w:rsid w:val="00171557"/>
    <w:rsid w:val="00172CF5"/>
    <w:rsid w:val="00176871"/>
    <w:rsid w:val="00187B9B"/>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1E32"/>
    <w:rsid w:val="002328EC"/>
    <w:rsid w:val="00234802"/>
    <w:rsid w:val="00241AAD"/>
    <w:rsid w:val="002427E6"/>
    <w:rsid w:val="00244DF4"/>
    <w:rsid w:val="002451F9"/>
    <w:rsid w:val="002518C8"/>
    <w:rsid w:val="00255944"/>
    <w:rsid w:val="00261FC7"/>
    <w:rsid w:val="002668F5"/>
    <w:rsid w:val="00275600"/>
    <w:rsid w:val="00290E57"/>
    <w:rsid w:val="0029229D"/>
    <w:rsid w:val="002977FC"/>
    <w:rsid w:val="002A15C4"/>
    <w:rsid w:val="002A2F18"/>
    <w:rsid w:val="002A5C0C"/>
    <w:rsid w:val="002B1399"/>
    <w:rsid w:val="002B3C8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B6CBB"/>
    <w:rsid w:val="003C23FD"/>
    <w:rsid w:val="003C5892"/>
    <w:rsid w:val="003C6FD3"/>
    <w:rsid w:val="003D4453"/>
    <w:rsid w:val="00407C9E"/>
    <w:rsid w:val="0041022E"/>
    <w:rsid w:val="004149CC"/>
    <w:rsid w:val="00456F5B"/>
    <w:rsid w:val="00461772"/>
    <w:rsid w:val="00485323"/>
    <w:rsid w:val="00487ED8"/>
    <w:rsid w:val="004911CB"/>
    <w:rsid w:val="00491918"/>
    <w:rsid w:val="00496E22"/>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15C28"/>
    <w:rsid w:val="00520DC2"/>
    <w:rsid w:val="00536F40"/>
    <w:rsid w:val="005470F3"/>
    <w:rsid w:val="005615CF"/>
    <w:rsid w:val="00570997"/>
    <w:rsid w:val="00577AA8"/>
    <w:rsid w:val="005850CE"/>
    <w:rsid w:val="005A6D23"/>
    <w:rsid w:val="005C1947"/>
    <w:rsid w:val="005C1E9D"/>
    <w:rsid w:val="005E03E7"/>
    <w:rsid w:val="005E75AB"/>
    <w:rsid w:val="00601F73"/>
    <w:rsid w:val="00625D15"/>
    <w:rsid w:val="0063704D"/>
    <w:rsid w:val="00651611"/>
    <w:rsid w:val="00653AE2"/>
    <w:rsid w:val="006671C7"/>
    <w:rsid w:val="006842C7"/>
    <w:rsid w:val="006917CF"/>
    <w:rsid w:val="00692BD4"/>
    <w:rsid w:val="006B22F3"/>
    <w:rsid w:val="006B2FD5"/>
    <w:rsid w:val="006B5C2D"/>
    <w:rsid w:val="006B6C16"/>
    <w:rsid w:val="006C0271"/>
    <w:rsid w:val="006D6F6C"/>
    <w:rsid w:val="006F239A"/>
    <w:rsid w:val="006F505D"/>
    <w:rsid w:val="006F7203"/>
    <w:rsid w:val="007044F1"/>
    <w:rsid w:val="00722AEF"/>
    <w:rsid w:val="00737A6C"/>
    <w:rsid w:val="007436AE"/>
    <w:rsid w:val="00743F01"/>
    <w:rsid w:val="00744AE4"/>
    <w:rsid w:val="00763D60"/>
    <w:rsid w:val="007833B1"/>
    <w:rsid w:val="007920AC"/>
    <w:rsid w:val="007A0F7E"/>
    <w:rsid w:val="007A42C5"/>
    <w:rsid w:val="007A65A1"/>
    <w:rsid w:val="007B1FCF"/>
    <w:rsid w:val="007C4620"/>
    <w:rsid w:val="007E337B"/>
    <w:rsid w:val="007E3E08"/>
    <w:rsid w:val="007E5EB3"/>
    <w:rsid w:val="00804E41"/>
    <w:rsid w:val="00811BC0"/>
    <w:rsid w:val="008231E8"/>
    <w:rsid w:val="008266B7"/>
    <w:rsid w:val="008538E6"/>
    <w:rsid w:val="00854B89"/>
    <w:rsid w:val="00855555"/>
    <w:rsid w:val="00881BED"/>
    <w:rsid w:val="00881EF3"/>
    <w:rsid w:val="00883E7C"/>
    <w:rsid w:val="00886261"/>
    <w:rsid w:val="00886ABF"/>
    <w:rsid w:val="00894971"/>
    <w:rsid w:val="008C0341"/>
    <w:rsid w:val="008D5731"/>
    <w:rsid w:val="008E1349"/>
    <w:rsid w:val="00937A78"/>
    <w:rsid w:val="00947B1E"/>
    <w:rsid w:val="00952DAC"/>
    <w:rsid w:val="00953C08"/>
    <w:rsid w:val="00973C29"/>
    <w:rsid w:val="009B14F4"/>
    <w:rsid w:val="009B1B0D"/>
    <w:rsid w:val="009B1C3D"/>
    <w:rsid w:val="009B32DD"/>
    <w:rsid w:val="009C005A"/>
    <w:rsid w:val="009D4BC2"/>
    <w:rsid w:val="009D5E5F"/>
    <w:rsid w:val="009D62B4"/>
    <w:rsid w:val="009E1448"/>
    <w:rsid w:val="009E344B"/>
    <w:rsid w:val="009E3E41"/>
    <w:rsid w:val="009F228C"/>
    <w:rsid w:val="00A02307"/>
    <w:rsid w:val="00A05A06"/>
    <w:rsid w:val="00A164F2"/>
    <w:rsid w:val="00A26FCF"/>
    <w:rsid w:val="00A31FA5"/>
    <w:rsid w:val="00A34F8C"/>
    <w:rsid w:val="00A359DA"/>
    <w:rsid w:val="00A37886"/>
    <w:rsid w:val="00A46F6D"/>
    <w:rsid w:val="00A63176"/>
    <w:rsid w:val="00A70D0C"/>
    <w:rsid w:val="00A9794C"/>
    <w:rsid w:val="00AB0440"/>
    <w:rsid w:val="00AC3FC5"/>
    <w:rsid w:val="00AC73D1"/>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1000"/>
    <w:rsid w:val="00C260AB"/>
    <w:rsid w:val="00C32933"/>
    <w:rsid w:val="00C3314D"/>
    <w:rsid w:val="00C465F8"/>
    <w:rsid w:val="00C6252C"/>
    <w:rsid w:val="00C75246"/>
    <w:rsid w:val="00C76FBA"/>
    <w:rsid w:val="00C80B0B"/>
    <w:rsid w:val="00C91EDF"/>
    <w:rsid w:val="00C97447"/>
    <w:rsid w:val="00CA0A85"/>
    <w:rsid w:val="00CC2A01"/>
    <w:rsid w:val="00CC6622"/>
    <w:rsid w:val="00CD1AC0"/>
    <w:rsid w:val="00D20F5D"/>
    <w:rsid w:val="00D376ED"/>
    <w:rsid w:val="00D40E4F"/>
    <w:rsid w:val="00D638D0"/>
    <w:rsid w:val="00D67A0A"/>
    <w:rsid w:val="00D70931"/>
    <w:rsid w:val="00D734B9"/>
    <w:rsid w:val="00D762A6"/>
    <w:rsid w:val="00D762BF"/>
    <w:rsid w:val="00D84564"/>
    <w:rsid w:val="00D958CF"/>
    <w:rsid w:val="00D968A7"/>
    <w:rsid w:val="00DA33D1"/>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379"/>
    <w:rsid w:val="00E708C9"/>
    <w:rsid w:val="00E74E35"/>
    <w:rsid w:val="00E75B93"/>
    <w:rsid w:val="00E86D2A"/>
    <w:rsid w:val="00E9123C"/>
    <w:rsid w:val="00E95800"/>
    <w:rsid w:val="00EA1F77"/>
    <w:rsid w:val="00EB048E"/>
    <w:rsid w:val="00EB1C90"/>
    <w:rsid w:val="00EB52F0"/>
    <w:rsid w:val="00EC1EF8"/>
    <w:rsid w:val="00EC2547"/>
    <w:rsid w:val="00EC4079"/>
    <w:rsid w:val="00EE7D05"/>
    <w:rsid w:val="00EF17BC"/>
    <w:rsid w:val="00EF3B9C"/>
    <w:rsid w:val="00EF4350"/>
    <w:rsid w:val="00F04CAD"/>
    <w:rsid w:val="00F11982"/>
    <w:rsid w:val="00F2634D"/>
    <w:rsid w:val="00F332CE"/>
    <w:rsid w:val="00F35009"/>
    <w:rsid w:val="00F4083E"/>
    <w:rsid w:val="00F45BA7"/>
    <w:rsid w:val="00F51DD4"/>
    <w:rsid w:val="00F64D56"/>
    <w:rsid w:val="00F73621"/>
    <w:rsid w:val="00F82B11"/>
    <w:rsid w:val="00F873F0"/>
    <w:rsid w:val="00FA1D4F"/>
    <w:rsid w:val="00FA6D2B"/>
    <w:rsid w:val="00FA7914"/>
    <w:rsid w:val="00FB15DB"/>
    <w:rsid w:val="00FC7DA9"/>
    <w:rsid w:val="00FD2F99"/>
    <w:rsid w:val="00FE5C5C"/>
    <w:rsid w:val="00FE76BC"/>
    <w:rsid w:val="00FF4214"/>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A538A2B-D2B4-43E5-B326-D90C4AF7E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057A85"/>
    <w:rPr>
      <w:sz w:val="16"/>
      <w:szCs w:val="16"/>
    </w:rPr>
  </w:style>
  <w:style w:type="paragraph" w:styleId="CommentText">
    <w:name w:val="annotation text"/>
    <w:basedOn w:val="Normal"/>
    <w:link w:val="CommentTextChar"/>
    <w:semiHidden/>
    <w:unhideWhenUsed/>
    <w:rsid w:val="00057A85"/>
    <w:pPr>
      <w:spacing w:line="240" w:lineRule="auto"/>
    </w:pPr>
    <w:rPr>
      <w:sz w:val="20"/>
      <w:szCs w:val="20"/>
    </w:rPr>
  </w:style>
  <w:style w:type="character" w:customStyle="1" w:styleId="CommentTextChar">
    <w:name w:val="Comment Text Char"/>
    <w:basedOn w:val="DefaultParagraphFont"/>
    <w:link w:val="CommentText"/>
    <w:semiHidden/>
    <w:rsid w:val="00057A85"/>
  </w:style>
  <w:style w:type="paragraph" w:styleId="CommentSubject">
    <w:name w:val="annotation subject"/>
    <w:basedOn w:val="CommentText"/>
    <w:next w:val="CommentText"/>
    <w:link w:val="CommentSubjectChar"/>
    <w:semiHidden/>
    <w:unhideWhenUsed/>
    <w:rsid w:val="00057A85"/>
    <w:rPr>
      <w:b/>
      <w:bCs/>
    </w:rPr>
  </w:style>
  <w:style w:type="character" w:customStyle="1" w:styleId="CommentSubjectChar">
    <w:name w:val="Comment Subject Char"/>
    <w:basedOn w:val="CommentTextChar"/>
    <w:link w:val="CommentSubject"/>
    <w:semiHidden/>
    <w:rsid w:val="00057A85"/>
    <w:rPr>
      <w:b/>
      <w:bCs/>
    </w:rPr>
  </w:style>
  <w:style w:type="paragraph" w:styleId="BalloonText">
    <w:name w:val="Balloon Text"/>
    <w:basedOn w:val="Normal"/>
    <w:link w:val="BalloonTextChar"/>
    <w:semiHidden/>
    <w:unhideWhenUsed/>
    <w:rsid w:val="00057A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7A85"/>
    <w:rPr>
      <w:rFonts w:ascii="Segoe UI" w:hAnsi="Segoe UI" w:cs="Segoe UI"/>
      <w:sz w:val="18"/>
      <w:szCs w:val="18"/>
    </w:rPr>
  </w:style>
  <w:style w:type="paragraph" w:styleId="ListParagraph">
    <w:name w:val="List Paragraph"/>
    <w:basedOn w:val="Normal"/>
    <w:uiPriority w:val="34"/>
    <w:qFormat/>
    <w:rsid w:val="00EB52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3CEA3-0160-4A96-9BD5-A5D019E09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821</Words>
  <Characters>4313</Characters>
  <Application>Microsoft Office Word</Application>
  <DocSecurity>0</DocSecurity>
  <Lines>105</Lines>
  <Paragraphs>42</Paragraphs>
  <ScaleCrop>false</ScaleCrop>
  <HeadingPairs>
    <vt:vector size="2" baseType="variant">
      <vt:variant>
        <vt:lpstr>Title</vt:lpstr>
      </vt:variant>
      <vt:variant>
        <vt:i4>1</vt:i4>
      </vt:variant>
    </vt:vector>
  </HeadingPairs>
  <TitlesOfParts>
    <vt:vector size="1" baseType="lpstr">
      <vt:lpstr>S3305 1R  FISCAL ESTIMATE</vt:lpstr>
    </vt:vector>
  </TitlesOfParts>
  <Manager>Parag Shende; R224</Manager>
  <Company>Office of Legislative Services</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S3305 1R  FISCAL ESTIMATE</dc:title>
  <dc:creator>Senator SMITH, Senator OROHO </dc:creator>
  <cp:keywords>S3305|3|RF |313|265|243|!||</cp:keywords>
  <dc:description>Sent to Sponsor 1/26 BPU 1/29</dc:description>
  <cp:lastModifiedBy>Franks, Denise</cp:lastModifiedBy>
  <cp:revision>2</cp:revision>
  <cp:lastPrinted>2021-01-29T15:48:00Z</cp:lastPrinted>
  <dcterms:created xsi:type="dcterms:W3CDTF">2021-01-29T16:02:00Z</dcterms:created>
  <dcterms:modified xsi:type="dcterms:W3CDTF">2021-01-29T16:02:00Z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