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147" w:rsidRDefault="00E50147" w:rsidP="00E50147">
      <w:pPr>
        <w:pStyle w:val="bpuBill"/>
      </w:pPr>
      <w:bookmarkStart w:id="0" w:name="bpuFrontPg"/>
      <w:bookmarkStart w:id="1" w:name="_GoBack"/>
      <w:bookmarkEnd w:id="0"/>
      <w:bookmarkEnd w:id="1"/>
      <w:r>
        <w:t xml:space="preserve">SENATE, No. 3314 </w:t>
      </w:r>
    </w:p>
    <w:p w:rsidR="00E50147" w:rsidRPr="009D38FF" w:rsidRDefault="00E50147" w:rsidP="00E501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5179" r:id="rId7"/>
        </w:object>
      </w:r>
    </w:p>
    <w:p w:rsidR="00E50147" w:rsidRDefault="00E50147" w:rsidP="00E50147">
      <w:pPr>
        <w:pStyle w:val="bpuState"/>
      </w:pPr>
      <w:r>
        <w:t>STATE OF NEW JERSEY</w:t>
      </w:r>
    </w:p>
    <w:p w:rsidR="00E50147" w:rsidRDefault="00E50147" w:rsidP="00E50147">
      <w:pPr>
        <w:pStyle w:val="bpuLegislature"/>
      </w:pPr>
      <w:r>
        <w:t>219th LEGISLATURE</w:t>
      </w:r>
    </w:p>
    <w:p w:rsidR="00E50147" w:rsidRDefault="00E50147" w:rsidP="00E50147">
      <w:pPr>
        <w:pStyle w:val="bpuWpGraphic"/>
      </w:pPr>
      <w:r>
        <w:object w:dxaOrig="8985" w:dyaOrig="255">
          <v:shape id="_x0000_i1026" type="#_x0000_t75" style="width:6in;height:12pt" o:ole="">
            <v:imagedata r:id="rId6" o:title=""/>
          </v:shape>
          <o:OLEObject Type="Embed" ProgID="WPWin6.1" ShapeID="_x0000_i1026" DrawAspect="Content" ObjectID="_1671615180" r:id="rId8"/>
        </w:object>
      </w:r>
      <w:r>
        <w:t xml:space="preserve">  </w:t>
      </w:r>
    </w:p>
    <w:p w:rsidR="00E50147" w:rsidRDefault="00E50147" w:rsidP="00E50147">
      <w:pPr>
        <w:pStyle w:val="bpuIntro"/>
      </w:pPr>
      <w:r>
        <w:t>INTRODUCED JANUARY 7, 2021</w:t>
      </w:r>
    </w:p>
    <w:p w:rsidR="00E50147" w:rsidRDefault="00E50147" w:rsidP="00E50147">
      <w:pPr>
        <w:pStyle w:val="bpuIntro"/>
      </w:pPr>
    </w:p>
    <w:p w:rsidR="00E50147" w:rsidRDefault="00E50147" w:rsidP="00E50147">
      <w:pPr>
        <w:pStyle w:val="bpuIntro"/>
        <w:sectPr w:rsidR="00E50147" w:rsidSect="00E50147">
          <w:headerReference w:type="even" r:id="rId9"/>
          <w:headerReference w:type="default" r:id="rId10"/>
          <w:pgSz w:w="12240" w:h="20160" w:code="5"/>
          <w:pgMar w:top="2160" w:right="1440" w:bottom="1440" w:left="1440" w:header="72" w:footer="720" w:gutter="0"/>
          <w:pgNumType w:start="1"/>
          <w:cols w:space="720"/>
          <w:docGrid w:linePitch="360"/>
        </w:sectPr>
      </w:pPr>
    </w:p>
    <w:p w:rsidR="00E50147" w:rsidRDefault="00E50147" w:rsidP="00E50147">
      <w:pPr>
        <w:pStyle w:val="bpuIntro"/>
      </w:pPr>
    </w:p>
    <w:p w:rsidR="00E50147" w:rsidRDefault="00E50147" w:rsidP="00E50147">
      <w:pPr>
        <w:pStyle w:val="bpuSponsor"/>
      </w:pPr>
      <w:r>
        <w:t>Sponsored by:</w:t>
      </w:r>
    </w:p>
    <w:p w:rsidR="00E50147" w:rsidRDefault="00E50147" w:rsidP="00E50147">
      <w:pPr>
        <w:pStyle w:val="bpuSponsor"/>
      </w:pPr>
      <w:r>
        <w:t>Senator  NELLIE POU</w:t>
      </w:r>
    </w:p>
    <w:p w:rsidR="00E50147" w:rsidRDefault="00E50147" w:rsidP="00E50147">
      <w:pPr>
        <w:pStyle w:val="bpuSponsor"/>
      </w:pPr>
      <w:r>
        <w:t>District 35 (Bergen and Passaic)</w:t>
      </w:r>
    </w:p>
    <w:p w:rsidR="00E50147" w:rsidRDefault="00E50147" w:rsidP="00E50147">
      <w:pPr>
        <w:pStyle w:val="bpuSponsor"/>
      </w:pPr>
    </w:p>
    <w:p w:rsidR="00E50147" w:rsidRDefault="00E50147" w:rsidP="00E50147">
      <w:pPr>
        <w:pStyle w:val="bpuSponsor"/>
      </w:pPr>
    </w:p>
    <w:p w:rsidR="00E50147" w:rsidRDefault="00E50147" w:rsidP="00E50147">
      <w:pPr>
        <w:pStyle w:val="bpuSponsor"/>
      </w:pPr>
    </w:p>
    <w:p w:rsidR="00E50147" w:rsidRDefault="00E50147" w:rsidP="00E50147">
      <w:pPr>
        <w:pStyle w:val="bpuSponsor"/>
      </w:pPr>
    </w:p>
    <w:p w:rsidR="00E50147" w:rsidRDefault="00E50147" w:rsidP="00E50147">
      <w:pPr>
        <w:pStyle w:val="bpuSponsor"/>
      </w:pPr>
      <w:r>
        <w:t>SYNOPSIS</w:t>
      </w:r>
    </w:p>
    <w:p w:rsidR="00E50147" w:rsidRDefault="007E677E" w:rsidP="00E50147">
      <w:pPr>
        <w:pStyle w:val="bpuNormText"/>
      </w:pPr>
      <w:r>
        <w:tab/>
      </w:r>
      <w:r w:rsidR="00E50147">
        <w:t xml:space="preserve">Requires NJ Infrastructure Bank to provide incentives to environmental infrastructure projects that, where feasible, employ local residents. </w:t>
      </w:r>
    </w:p>
    <w:p w:rsidR="00E50147" w:rsidRDefault="00E50147" w:rsidP="00E50147">
      <w:pPr>
        <w:pStyle w:val="bpuNormText"/>
      </w:pPr>
    </w:p>
    <w:p w:rsidR="00E50147" w:rsidRDefault="00E50147" w:rsidP="00E50147">
      <w:pPr>
        <w:pStyle w:val="bpuSponsor"/>
      </w:pPr>
      <w:r>
        <w:t xml:space="preserve">CURRENT VERSION OF TEXT </w:t>
      </w:r>
    </w:p>
    <w:p w:rsidR="00E50147" w:rsidRDefault="00E50147" w:rsidP="00E50147">
      <w:pPr>
        <w:pStyle w:val="bpuNormText"/>
      </w:pPr>
      <w:r>
        <w:tab/>
        <w:t>As introduced.</w:t>
      </w:r>
    </w:p>
    <w:p w:rsidR="00E50147" w:rsidRDefault="00E50147" w:rsidP="00E501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0147" w:rsidRDefault="00E50147" w:rsidP="008916EC">
      <w:pPr>
        <w:pStyle w:val="FronterPage"/>
        <w:tabs>
          <w:tab w:val="clear" w:pos="720"/>
          <w:tab w:val="clear" w:pos="1440"/>
          <w:tab w:val="clear" w:pos="2160"/>
          <w:tab w:val="clear" w:pos="2880"/>
          <w:tab w:val="clear" w:pos="3600"/>
          <w:tab w:val="clear" w:pos="4320"/>
          <w:tab w:val="clear" w:pos="5040"/>
        </w:tabs>
        <w:sectPr w:rsidR="00E50147" w:rsidSect="00E50147">
          <w:type w:val="continuous"/>
          <w:pgSz w:w="12240" w:h="20160" w:code="5"/>
          <w:pgMar w:top="1440" w:right="2275" w:bottom="1440" w:left="2275" w:header="72" w:footer="720" w:gutter="0"/>
          <w:pgNumType w:start="1"/>
          <w:cols w:space="720"/>
          <w:docGrid w:linePitch="360"/>
        </w:sectPr>
      </w:pPr>
    </w:p>
    <w:p w:rsidR="004C38BB" w:rsidRPr="00677316" w:rsidRDefault="004C38BB" w:rsidP="004C38BB">
      <w:pPr>
        <w:pStyle w:val="HangingAnAct"/>
        <w:rPr>
          <w:rStyle w:val="HangingAnActChar"/>
        </w:rPr>
      </w:pPr>
      <w:r w:rsidRPr="004C38BB">
        <w:rPr>
          <w:rStyle w:val="BillHead"/>
        </w:rPr>
        <w:lastRenderedPageBreak/>
        <w:t>An Act</w:t>
      </w:r>
      <w:r w:rsidRPr="006B7FA7">
        <w:rPr>
          <w:rStyle w:val="HangingAnActChar"/>
        </w:rPr>
        <w:t xml:space="preserve"> </w:t>
      </w:r>
      <w:r w:rsidRPr="00FF14BF">
        <w:rPr>
          <w:rStyle w:val="HangingAnActChar"/>
        </w:rPr>
        <w:t>concerning environmental infrastructure projects and amending P.L.1985, c.334.</w:t>
      </w:r>
    </w:p>
    <w:p w:rsidR="004C38BB" w:rsidRPr="00D71D68" w:rsidRDefault="004C38BB" w:rsidP="004C38BB"/>
    <w:p w:rsidR="004C38BB" w:rsidRPr="00AA7880" w:rsidRDefault="004C38BB" w:rsidP="004C38BB">
      <w:r>
        <w:tab/>
      </w:r>
      <w:r>
        <w:rPr>
          <w:rStyle w:val="BillHeading2"/>
        </w:rPr>
        <w:t xml:space="preserve">Be It Enacted </w:t>
      </w:r>
      <w:r>
        <w:rPr>
          <w:rStyle w:val="BillLanguage"/>
        </w:rPr>
        <w:t>by the Senate and General Assembly of the State of New Jersey:</w:t>
      </w:r>
    </w:p>
    <w:p w:rsidR="004C38BB" w:rsidRPr="00D71D68" w:rsidRDefault="004C38BB" w:rsidP="004C38BB"/>
    <w:p w:rsidR="004C38BB" w:rsidRDefault="004C38BB" w:rsidP="004C38BB">
      <w:r>
        <w:tab/>
        <w:t>1.  Section 26 of P.L.1985, c.334 (C.58:11B-26) is amended to read as follows:</w:t>
      </w:r>
    </w:p>
    <w:p w:rsidR="004C38BB" w:rsidRDefault="004C38BB" w:rsidP="004C38BB">
      <w:r>
        <w:tab/>
        <w:t>26.  a.  The trust shall adopt rules and regulations requiring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“Law Against Discrimination,” P.L.1945,</w:t>
      </w:r>
      <w:r w:rsidR="007E677E">
        <w:t> </w:t>
      </w:r>
      <w:r>
        <w:t xml:space="preserve">c.169 (C.10:5-1 et seq.).  Not less than 10 percent of the amount of any contract for construction, materials or services for a project shall be awarded to small business concerns owned and controlled by socially and economically disadvantaged individuals as defined in the “Small Business Act,” Pub.L.85-536 (15 U.S.C. s.631 et seq.), and any regulations promulgated pursuant thereto provided, however, that the projects funded, in whole or in part, with federal funds, the percentage of such contracts awarded to small business concerns owned and controlled by socially and economically disadvantaged individuals shall equal the goal for participation set forth in section 644(g)(1)(A)(iv) of the “Small Business Act,” Pub.L.85-536 (15 U.S.C. s.644).  For transportation financing program projects funded in whole with State funds, contracts for construction materials or services shall comply with the small business set aside regulations promulgated pursuant to section 15 of P.L.1983, c.482 (C.52:32-31). </w:t>
      </w:r>
    </w:p>
    <w:p w:rsidR="004C38BB" w:rsidRDefault="004C38BB" w:rsidP="004C38BB">
      <w:r>
        <w:tab/>
        <w:t>b.</w:t>
      </w:r>
      <w:r>
        <w:tab/>
        <w:t>The trust shall adopt rules and regulations requiring any entity, which receives a loan, grant, or guarantee for a project to pay not less than the prevailing wage rate to workers employed in the performance of any construction contract for that project, in accordance with the rate determined by the Commissioner of Labor and Workforce Development pursuant to P.L.1963, c.150 (C.34:11-56.25 et seq.).</w:t>
      </w:r>
    </w:p>
    <w:p w:rsidR="004C38BB" w:rsidRPr="009757E5" w:rsidRDefault="004C38BB" w:rsidP="004C38BB">
      <w:pPr>
        <w:rPr>
          <w:u w:val="single"/>
        </w:rPr>
      </w:pPr>
      <w:r>
        <w:tab/>
      </w:r>
      <w:r w:rsidRPr="009757E5">
        <w:rPr>
          <w:u w:val="single"/>
        </w:rPr>
        <w:t>c.</w:t>
      </w:r>
      <w:r>
        <w:rPr>
          <w:u w:val="single"/>
        </w:rPr>
        <w:tab/>
      </w:r>
      <w:r w:rsidRPr="009757E5">
        <w:rPr>
          <w:u w:val="single"/>
        </w:rPr>
        <w:t xml:space="preserve">The trust shall adopt rules and regulations </w:t>
      </w:r>
      <w:r>
        <w:rPr>
          <w:u w:val="single"/>
        </w:rPr>
        <w:t xml:space="preserve">that provide an incentive for </w:t>
      </w:r>
      <w:r w:rsidRPr="009757E5">
        <w:rPr>
          <w:u w:val="single"/>
        </w:rPr>
        <w:t>any entity, w</w:t>
      </w:r>
      <w:r>
        <w:rPr>
          <w:u w:val="single"/>
        </w:rPr>
        <w:t xml:space="preserve">hich receives a loan, grant, or </w:t>
      </w:r>
      <w:r w:rsidRPr="009757E5">
        <w:rPr>
          <w:u w:val="single"/>
        </w:rPr>
        <w:t>guarantee for a</w:t>
      </w:r>
      <w:r>
        <w:rPr>
          <w:u w:val="single"/>
        </w:rPr>
        <w:t xml:space="preserve">n environmental infrastructure </w:t>
      </w:r>
      <w:r w:rsidRPr="009757E5">
        <w:rPr>
          <w:u w:val="single"/>
        </w:rPr>
        <w:t>project t</w:t>
      </w:r>
      <w:r>
        <w:rPr>
          <w:u w:val="single"/>
        </w:rPr>
        <w:t>hat</w:t>
      </w:r>
      <w:r w:rsidRPr="00EF7D16">
        <w:rPr>
          <w:u w:val="single"/>
        </w:rPr>
        <w:t>, where feasible, employ</w:t>
      </w:r>
      <w:r>
        <w:rPr>
          <w:u w:val="single"/>
        </w:rPr>
        <w:t>s</w:t>
      </w:r>
      <w:r w:rsidRPr="00EF7D16">
        <w:rPr>
          <w:u w:val="single"/>
        </w:rPr>
        <w:t xml:space="preserve"> applicants that reside </w:t>
      </w:r>
      <w:r>
        <w:rPr>
          <w:u w:val="single"/>
        </w:rPr>
        <w:t xml:space="preserve">in the municipality in which the project is located or in the service area for the project.  The incentive provided pursuant to this subsection </w:t>
      </w:r>
      <w:r w:rsidRPr="00833EAC">
        <w:rPr>
          <w:u w:val="single"/>
        </w:rPr>
        <w:t>may include, but is not limited to,</w:t>
      </w:r>
      <w:r>
        <w:rPr>
          <w:u w:val="single"/>
        </w:rPr>
        <w:t xml:space="preserve"> </w:t>
      </w:r>
      <w:r w:rsidRPr="0041351A">
        <w:rPr>
          <w:u w:val="single"/>
        </w:rPr>
        <w:t>priority</w:t>
      </w:r>
      <w:r>
        <w:rPr>
          <w:u w:val="single"/>
        </w:rPr>
        <w:t xml:space="preserve"> in the ranking criteria or prioritization methodology for projects</w:t>
      </w:r>
      <w:r w:rsidRPr="0041351A">
        <w:rPr>
          <w:u w:val="single"/>
        </w:rPr>
        <w:t xml:space="preserve"> or </w:t>
      </w:r>
      <w:r>
        <w:rPr>
          <w:u w:val="single"/>
        </w:rPr>
        <w:t>a financial incentive</w:t>
      </w:r>
      <w:r w:rsidRPr="0041351A">
        <w:rPr>
          <w:u w:val="single"/>
        </w:rPr>
        <w:t xml:space="preserve"> such as principal forgiveness</w:t>
      </w:r>
      <w:r>
        <w:rPr>
          <w:u w:val="single"/>
        </w:rPr>
        <w:t>.</w:t>
      </w:r>
      <w:r w:rsidRPr="009757E5">
        <w:rPr>
          <w:u w:val="single"/>
        </w:rPr>
        <w:t xml:space="preserve"> </w:t>
      </w:r>
    </w:p>
    <w:p w:rsidR="004C38BB" w:rsidRDefault="004C38BB" w:rsidP="004C38BB">
      <w:r>
        <w:t>(</w:t>
      </w:r>
      <w:proofErr w:type="spellStart"/>
      <w:r>
        <w:t>cf</w:t>
      </w:r>
      <w:proofErr w:type="spellEnd"/>
      <w:r>
        <w:t>: P.L.2019, c.194, s.6)</w:t>
      </w:r>
    </w:p>
    <w:p w:rsidR="004C38BB" w:rsidRDefault="004C38BB" w:rsidP="004C38BB"/>
    <w:p w:rsidR="004C38BB" w:rsidRDefault="004C38BB" w:rsidP="004C38BB">
      <w:r>
        <w:tab/>
        <w:t>2.</w:t>
      </w:r>
      <w:r>
        <w:tab/>
        <w:t>This act shall take effect immediately.</w:t>
      </w:r>
    </w:p>
    <w:p w:rsidR="004C38BB" w:rsidRPr="00AA7880" w:rsidRDefault="004C38BB" w:rsidP="004C38BB"/>
    <w:p w:rsidR="004C38BB" w:rsidRPr="00CE7BD8" w:rsidRDefault="004C38BB" w:rsidP="004C38BB"/>
    <w:p w:rsidR="004C38BB" w:rsidRPr="00AA7880" w:rsidRDefault="004C38BB" w:rsidP="004C38BB">
      <w:pPr>
        <w:jc w:val="center"/>
      </w:pPr>
      <w:r w:rsidRPr="00D71D68">
        <w:t>STATEMENT</w:t>
      </w:r>
    </w:p>
    <w:p w:rsidR="004C38BB" w:rsidRDefault="004C38BB" w:rsidP="004C38BB"/>
    <w:p w:rsidR="004C38BB" w:rsidRDefault="004C38BB" w:rsidP="004C38BB">
      <w:r>
        <w:tab/>
        <w:t xml:space="preserve">This bill directs the New Jersey Infrastructure Bank </w:t>
      </w:r>
      <w:r w:rsidRPr="00711AE7">
        <w:t>(NJIB) (formerly the New Jersey Environmental Infrastructure Trust)</w:t>
      </w:r>
      <w:r>
        <w:t xml:space="preserve"> to establish incentives for entities that</w:t>
      </w:r>
      <w:r w:rsidRPr="00BB7544">
        <w:t xml:space="preserve">, where feasible, </w:t>
      </w:r>
      <w:r>
        <w:t>employ</w:t>
      </w:r>
      <w:r w:rsidRPr="00447609">
        <w:t xml:space="preserve"> applicants that reside in the municipality in which </w:t>
      </w:r>
      <w:r>
        <w:t xml:space="preserve">an environmental infrastructure </w:t>
      </w:r>
      <w:r w:rsidRPr="00447609">
        <w:t xml:space="preserve">project is located or </w:t>
      </w:r>
      <w:r>
        <w:t xml:space="preserve">in </w:t>
      </w:r>
      <w:r w:rsidRPr="00447609">
        <w:t xml:space="preserve">the service area for the project.  The incentive may </w:t>
      </w:r>
      <w:r w:rsidRPr="00833EAC">
        <w:t>include, but is not limited to,</w:t>
      </w:r>
      <w:r>
        <w:t xml:space="preserve"> </w:t>
      </w:r>
      <w:r w:rsidRPr="00447609">
        <w:t>priority in the ranking criteria or prioritization methodology for projects or a financial incentive such as principal forgiveness.</w:t>
      </w:r>
    </w:p>
    <w:p w:rsidR="004C38BB" w:rsidRDefault="004C38BB" w:rsidP="004C38BB">
      <w:r>
        <w:tab/>
        <w:t xml:space="preserve">Under current law, the NJIB requires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“Law Against Discrimination.”  </w:t>
      </w:r>
    </w:p>
    <w:p w:rsidR="004C38BB" w:rsidRDefault="004C38BB">
      <w:r>
        <w:tab/>
      </w:r>
      <w:r w:rsidRPr="00711AE7">
        <w:t>Since its creation in 1985, the NJIB, in partnership with the Department of Environmental Prot</w:t>
      </w:r>
      <w:r>
        <w:t>ection, has provided low-cost New Jersey Environmental Infrastructure Financing Program (</w:t>
      </w:r>
      <w:r w:rsidRPr="00711AE7">
        <w:t>NJEIFP</w:t>
      </w:r>
      <w:r>
        <w:t>)</w:t>
      </w:r>
      <w:r w:rsidRPr="00711AE7">
        <w:t xml:space="preserve"> loans for the construction of environmental infrastructure projects that enhance and protect ground and surface water resources, ensure the safety of dri</w:t>
      </w:r>
      <w:r>
        <w:t>nking water supplies, and make</w:t>
      </w:r>
      <w:r w:rsidRPr="00711AE7">
        <w:t xml:space="preserve"> possible responsible and sustainable economic development.</w:t>
      </w:r>
      <w:r>
        <w:t xml:space="preserve"> </w:t>
      </w:r>
      <w:r w:rsidRPr="00711AE7">
        <w:t xml:space="preserve"> Since 1985, NJEIFP loans to local government units and some private water companies have totaled more than $7.13 billion of which the NJIB has provided more than $2</w:t>
      </w:r>
      <w:r>
        <w:t>.9 billion in loans to finance</w:t>
      </w:r>
      <w:r w:rsidRPr="00711AE7">
        <w:t xml:space="preserve"> wastewater systems, combined sewer overflow abatement, nonpoint source pollution control, and safe drinking water supplies generating more than 130,000 construction projects throughout the State. </w:t>
      </w:r>
    </w:p>
    <w:sectPr w:rsidR="004C38BB" w:rsidSect="007E677E">
      <w:headerReference w:type="default" r:id="rId12"/>
      <w:footerReference w:type="default" r:id="rId13"/>
      <w:headerReference w:type="first" r:id="rId14"/>
      <w:footerReference w:type="first" r:id="rId15"/>
      <w:pgSz w:w="12240" w:h="20160" w:code="5"/>
      <w:pgMar w:top="1440" w:right="2520" w:bottom="1872" w:left="2880" w:header="1181" w:footer="9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A1D" w:rsidRDefault="00762A1D">
      <w:r>
        <w:separator/>
      </w:r>
    </w:p>
  </w:endnote>
  <w:endnote w:type="continuationSeparator" w:id="0">
    <w:p w:rsidR="00762A1D" w:rsidRDefault="0076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472" w:rsidRDefault="00064472" w:rsidP="00064472">
    <w:pPr>
      <w:pStyle w:val="Header"/>
    </w:pPr>
  </w:p>
  <w:p w:rsidR="00064472" w:rsidRDefault="00064472" w:rsidP="00064472"/>
  <w:p w:rsidR="00064472" w:rsidRPr="00921C91" w:rsidRDefault="00064472" w:rsidP="000644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4472" w:rsidRPr="00921C91" w:rsidRDefault="00064472" w:rsidP="00064472">
    <w:pPr>
      <w:pStyle w:val="Footer"/>
      <w:rPr>
        <w:szCs w:val="18"/>
      </w:rPr>
    </w:pPr>
  </w:p>
  <w:p w:rsidR="00064472" w:rsidRPr="00921C91" w:rsidRDefault="00064472" w:rsidP="000644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064472" w:rsidRDefault="00665CBC" w:rsidP="00064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A1D" w:rsidRDefault="00762A1D">
      <w:r>
        <w:separator/>
      </w:r>
    </w:p>
  </w:footnote>
  <w:footnote w:type="continuationSeparator" w:id="0">
    <w:p w:rsidR="00762A1D" w:rsidRDefault="00762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40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0147" w:rsidRDefault="00E50147" w:rsidP="00E50147">
    <w:pPr>
      <w:pStyle w:val="bpuHeadSpon"/>
    </w:pPr>
    <w:r w:rsidRPr="00E50147">
      <w:rPr>
        <w:rStyle w:val="bpuHeadSponChar"/>
      </w:rPr>
      <w:t>S3314</w:t>
    </w:r>
    <w:r>
      <w:t xml:space="preserve"> POU</w:t>
    </w:r>
  </w:p>
  <w:p w:rsidR="00E50147" w:rsidRDefault="00E50147" w:rsidP="00E50147">
    <w:pPr>
      <w:pStyle w:val="bpuHeadSpon"/>
    </w:pPr>
    <w:r>
      <w:fldChar w:fldCharType="begin"/>
    </w:r>
    <w:r>
      <w:instrText xml:space="preserve"> PAGE  \* MERGEFORMAT </w:instrText>
    </w:r>
    <w:r>
      <w:fldChar w:fldCharType="separate"/>
    </w:r>
    <w:r w:rsidR="001E4034">
      <w:rPr>
        <w:noProof/>
      </w:rPr>
      <w:t>3</w:t>
    </w:r>
    <w:r>
      <w:fldChar w:fldCharType="end"/>
    </w:r>
  </w:p>
  <w:p w:rsidR="00E50147" w:rsidRDefault="00E50147" w:rsidP="00E501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0147" w:rsidRDefault="00E50147" w:rsidP="00E50147">
    <w:pPr>
      <w:pStyle w:val="bpuHeadSpon"/>
    </w:pPr>
    <w:r w:rsidRPr="00E50147">
      <w:rPr>
        <w:rStyle w:val="bpuHeadSponChar"/>
      </w:rPr>
      <w:t>S3314</w:t>
    </w:r>
    <w:r>
      <w:t xml:space="preserve"> POU</w:t>
    </w:r>
  </w:p>
  <w:p w:rsidR="00E50147" w:rsidRDefault="00E50147" w:rsidP="00E50147">
    <w:pPr>
      <w:pStyle w:val="bpuHeadSpon"/>
    </w:pPr>
    <w:r>
      <w:fldChar w:fldCharType="begin"/>
    </w:r>
    <w:r>
      <w:instrText xml:space="preserve"> PAGE  \* MERGEFORMAT </w:instrText>
    </w:r>
    <w:r>
      <w:fldChar w:fldCharType="separate"/>
    </w:r>
    <w:r w:rsidR="001E4034">
      <w:rPr>
        <w:noProof/>
      </w:rPr>
      <w:t>2</w:t>
    </w:r>
    <w:r>
      <w:fldChar w:fldCharType="end"/>
    </w:r>
  </w:p>
  <w:p w:rsidR="00E50147" w:rsidRDefault="00E50147" w:rsidP="00E501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A1D"/>
    <w:rsid w:val="000051BD"/>
    <w:rsid w:val="000160A5"/>
    <w:rsid w:val="0002335B"/>
    <w:rsid w:val="0003549A"/>
    <w:rsid w:val="000367AE"/>
    <w:rsid w:val="00043B22"/>
    <w:rsid w:val="00054975"/>
    <w:rsid w:val="00057D20"/>
    <w:rsid w:val="0006197C"/>
    <w:rsid w:val="0006281F"/>
    <w:rsid w:val="00064472"/>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034"/>
    <w:rsid w:val="001E6213"/>
    <w:rsid w:val="001F14C7"/>
    <w:rsid w:val="001F7405"/>
    <w:rsid w:val="00205533"/>
    <w:rsid w:val="00212B8D"/>
    <w:rsid w:val="00213F9C"/>
    <w:rsid w:val="00222983"/>
    <w:rsid w:val="002370D0"/>
    <w:rsid w:val="0024448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85"/>
    <w:rsid w:val="004C38BB"/>
    <w:rsid w:val="004C742C"/>
    <w:rsid w:val="004E1F3E"/>
    <w:rsid w:val="004F21BD"/>
    <w:rsid w:val="004F4F1D"/>
    <w:rsid w:val="004F74DD"/>
    <w:rsid w:val="00501317"/>
    <w:rsid w:val="0050495C"/>
    <w:rsid w:val="00505DC9"/>
    <w:rsid w:val="00506E1E"/>
    <w:rsid w:val="00513C81"/>
    <w:rsid w:val="00526DF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C2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1D"/>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77E"/>
    <w:rsid w:val="007F485D"/>
    <w:rsid w:val="007F6050"/>
    <w:rsid w:val="00813627"/>
    <w:rsid w:val="0082473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2A5"/>
    <w:rsid w:val="008B2850"/>
    <w:rsid w:val="008C79B3"/>
    <w:rsid w:val="008D77BD"/>
    <w:rsid w:val="008E454C"/>
    <w:rsid w:val="008F1E5A"/>
    <w:rsid w:val="00901BDA"/>
    <w:rsid w:val="009121D8"/>
    <w:rsid w:val="00912D9C"/>
    <w:rsid w:val="00916F7A"/>
    <w:rsid w:val="00917FE3"/>
    <w:rsid w:val="009318C7"/>
    <w:rsid w:val="00931C09"/>
    <w:rsid w:val="009348C2"/>
    <w:rsid w:val="00936E1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D0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39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14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F1A70F-21C1-4894-84EC-413B78E9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064472"/>
    <w:rPr>
      <w:b/>
      <w:sz w:val="18"/>
      <w:szCs w:val="24"/>
    </w:rPr>
  </w:style>
  <w:style w:type="character" w:customStyle="1" w:styleId="HeaderChar">
    <w:name w:val="Header Char"/>
    <w:basedOn w:val="DefaultParagraphFont"/>
    <w:link w:val="Header"/>
    <w:rsid w:val="00064472"/>
    <w:rPr>
      <w:sz w:val="24"/>
      <w:szCs w:val="24"/>
    </w:rPr>
  </w:style>
  <w:style w:type="paragraph" w:styleId="BalloonText">
    <w:name w:val="Balloon Text"/>
    <w:basedOn w:val="Normal"/>
    <w:link w:val="BalloonTextChar"/>
    <w:semiHidden/>
    <w:unhideWhenUsed/>
    <w:rsid w:val="002444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448D"/>
    <w:rPr>
      <w:rFonts w:ascii="Segoe UI" w:hAnsi="Segoe UI" w:cs="Segoe UI"/>
      <w:spacing w:val="4"/>
      <w:sz w:val="18"/>
      <w:szCs w:val="18"/>
    </w:rPr>
  </w:style>
  <w:style w:type="character" w:styleId="LineNumber">
    <w:name w:val="line number"/>
    <w:basedOn w:val="DefaultParagraphFont"/>
    <w:semiHidden/>
    <w:unhideWhenUsed/>
    <w:rsid w:val="00E50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15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731</Words>
  <Characters>4235</Characters>
  <Application>Microsoft Office Word</Application>
  <DocSecurity>0</DocSecurity>
  <Lines>109</Lines>
  <Paragraphs>23</Paragraphs>
  <ScaleCrop>false</ScaleCrop>
  <HeadingPairs>
    <vt:vector size="2" baseType="variant">
      <vt:variant>
        <vt:lpstr>Title</vt:lpstr>
      </vt:variant>
      <vt:variant>
        <vt:i4>1</vt:i4>
      </vt:variant>
    </vt:vector>
  </HeadingPairs>
  <TitlesOfParts>
    <vt:vector size="1" baseType="lpstr">
      <vt:lpstr>S3314</vt:lpstr>
    </vt:vector>
  </TitlesOfParts>
  <Manager>R230</Manager>
  <Company>NJ Office of Legislative Services</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S3314</dc:title>
  <dc:subject/>
  <dc:creator>Senator  POU</dc:creator>
  <cp:keywords>S3314|3|EA |161|0|161|N|0|</cp:keywords>
  <dc:description>INTRODUCED JANUARY 7, 2021</dc:description>
  <cp:lastModifiedBy>Bektas, Brenda</cp:lastModifiedBy>
  <cp:revision>2</cp:revision>
  <cp:lastPrinted>2020-12-09T17:27:00Z</cp:lastPrinted>
  <dcterms:created xsi:type="dcterms:W3CDTF">2021-01-08T17:46:00Z</dcterms:created>
  <dcterms:modified xsi:type="dcterms:W3CDTF">2021-01-08T17:46:00Z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