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970" w:rsidRDefault="001B6970" w:rsidP="001B6970">
      <w:pPr>
        <w:pStyle w:val="bpuReprint"/>
      </w:pPr>
      <w:bookmarkStart w:id="0" w:name="bpuFrontPg"/>
      <w:bookmarkStart w:id="1" w:name="_GoBack"/>
      <w:bookmarkEnd w:id="0"/>
      <w:bookmarkEnd w:id="1"/>
      <w:r>
        <w:t>[First Reprint]</w:t>
      </w:r>
    </w:p>
    <w:p w:rsidR="00F22B90" w:rsidRDefault="00F22B90" w:rsidP="00F22B90">
      <w:pPr>
        <w:pStyle w:val="bpuBill"/>
      </w:pPr>
      <w:r>
        <w:t xml:space="preserve">SENATE, No. 3323 </w:t>
      </w:r>
    </w:p>
    <w:p w:rsidR="00F22B90" w:rsidRPr="009D38FF" w:rsidRDefault="00F22B90" w:rsidP="00F22B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9536" r:id="rId7"/>
        </w:object>
      </w:r>
    </w:p>
    <w:p w:rsidR="00F22B90" w:rsidRDefault="00F22B90" w:rsidP="00F22B90">
      <w:pPr>
        <w:pStyle w:val="bpuState"/>
      </w:pPr>
      <w:r>
        <w:t>STATE OF NEW JERSEY</w:t>
      </w:r>
    </w:p>
    <w:p w:rsidR="00F22B90" w:rsidRDefault="00F22B90" w:rsidP="00F22B90">
      <w:pPr>
        <w:pStyle w:val="bpuLegislature"/>
      </w:pPr>
      <w:r>
        <w:t>219th LEGISLATURE</w:t>
      </w:r>
    </w:p>
    <w:p w:rsidR="00F22B90" w:rsidRDefault="00F22B90" w:rsidP="00F22B90">
      <w:pPr>
        <w:pStyle w:val="bpuWpGraphic"/>
      </w:pPr>
      <w:r>
        <w:object w:dxaOrig="8985" w:dyaOrig="255">
          <v:shape id="_x0000_i1026" type="#_x0000_t75" style="width:6in;height:12pt" o:ole="">
            <v:imagedata r:id="rId6" o:title=""/>
          </v:shape>
          <o:OLEObject Type="Embed" ProgID="WPWin6.1" ShapeID="_x0000_i1026" DrawAspect="Content" ObjectID="_1676879537" r:id="rId8"/>
        </w:object>
      </w:r>
      <w:r>
        <w:t xml:space="preserve">  </w:t>
      </w:r>
    </w:p>
    <w:p w:rsidR="00F22B90" w:rsidRDefault="00E5306B" w:rsidP="00F22B90">
      <w:pPr>
        <w:pStyle w:val="bpuIntro"/>
      </w:pPr>
      <w:r>
        <w:t>INTRODUCED JANUARY 11, 2021</w:t>
      </w:r>
    </w:p>
    <w:p w:rsidR="00F22B90" w:rsidRDefault="00F22B90" w:rsidP="00F22B90">
      <w:pPr>
        <w:pStyle w:val="bpuIntro"/>
      </w:pPr>
    </w:p>
    <w:p w:rsidR="00F22B90" w:rsidRDefault="00F22B90" w:rsidP="00F22B90">
      <w:pPr>
        <w:pStyle w:val="bpuIntro"/>
        <w:sectPr w:rsidR="00F22B90" w:rsidSect="00F614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2B90" w:rsidRDefault="00F22B90" w:rsidP="00F22B90">
      <w:pPr>
        <w:pStyle w:val="bpuIntro"/>
      </w:pPr>
    </w:p>
    <w:p w:rsidR="00F22B90" w:rsidRDefault="00F22B90" w:rsidP="00F22B90">
      <w:pPr>
        <w:pStyle w:val="bpuSponsor"/>
      </w:pPr>
      <w:r>
        <w:t>Sponsored by:</w:t>
      </w:r>
    </w:p>
    <w:p w:rsidR="00F22B90" w:rsidRDefault="00F22B90" w:rsidP="00F22B90">
      <w:pPr>
        <w:pStyle w:val="bpuSponsor"/>
      </w:pPr>
      <w:r>
        <w:t>Senator  STEPHEN M. SWEENEY</w:t>
      </w:r>
    </w:p>
    <w:p w:rsidR="00F22B90" w:rsidRDefault="00F22B90" w:rsidP="00F22B90">
      <w:pPr>
        <w:pStyle w:val="bpuSponsor"/>
      </w:pPr>
      <w:r>
        <w:t>District 3 (Cumberland, Gloucester and Salem)</w:t>
      </w:r>
    </w:p>
    <w:p w:rsidR="00F22B90" w:rsidRDefault="006E0A50" w:rsidP="006E0A50">
      <w:pPr>
        <w:pStyle w:val="bpuSponsor"/>
      </w:pPr>
      <w:r>
        <w:t>Senator  TROY SINGLETON</w:t>
      </w:r>
    </w:p>
    <w:p w:rsidR="006E0A50" w:rsidRDefault="006E0A50" w:rsidP="006E0A50">
      <w:pPr>
        <w:pStyle w:val="bpuSponsor"/>
      </w:pPr>
      <w:r>
        <w:t>District 7 (Burlington)</w:t>
      </w:r>
    </w:p>
    <w:p w:rsidR="006E0A50" w:rsidRPr="006E0A50" w:rsidRDefault="006E0A50" w:rsidP="006E0A50">
      <w:pPr>
        <w:pStyle w:val="bpuSponsor"/>
      </w:pPr>
    </w:p>
    <w:p w:rsidR="00807330" w:rsidRDefault="00F61474" w:rsidP="00F61474">
      <w:pPr>
        <w:pStyle w:val="bpuSponsor"/>
      </w:pPr>
      <w:r>
        <w:t>Co-Sponsored by:</w:t>
      </w:r>
    </w:p>
    <w:p w:rsidR="00F61474" w:rsidRPr="00F61474" w:rsidRDefault="00F61474" w:rsidP="00F61474">
      <w:pPr>
        <w:pStyle w:val="bpuSponsor"/>
      </w:pPr>
      <w:r w:rsidRPr="00F61474">
        <w:t xml:space="preserve">Senators </w:t>
      </w:r>
      <w:proofErr w:type="spellStart"/>
      <w:r w:rsidRPr="00F61474">
        <w:t>A.M.Bucco</w:t>
      </w:r>
      <w:proofErr w:type="spellEnd"/>
      <w:r w:rsidRPr="00F61474">
        <w:t xml:space="preserve">, </w:t>
      </w:r>
      <w:proofErr w:type="spellStart"/>
      <w:r w:rsidRPr="00F61474">
        <w:t>Pou</w:t>
      </w:r>
      <w:proofErr w:type="spellEnd"/>
      <w:r w:rsidRPr="00F61474">
        <w:t xml:space="preserve"> and Stack</w:t>
      </w:r>
    </w:p>
    <w:p w:rsidR="00906161" w:rsidRDefault="00906161" w:rsidP="00807330"/>
    <w:p w:rsidR="00F61474" w:rsidRPr="00807330" w:rsidRDefault="00F61474" w:rsidP="00807330"/>
    <w:p w:rsidR="00F22B90" w:rsidRDefault="00F22B90" w:rsidP="00F22B90">
      <w:pPr>
        <w:pStyle w:val="bpuSponsor"/>
      </w:pPr>
    </w:p>
    <w:p w:rsidR="00F22B90" w:rsidRDefault="00F22B90" w:rsidP="00F22B90">
      <w:pPr>
        <w:pStyle w:val="bpuSponsor"/>
      </w:pPr>
    </w:p>
    <w:p w:rsidR="00F22B90" w:rsidRDefault="00F22B90" w:rsidP="00F22B90">
      <w:pPr>
        <w:pStyle w:val="bpuSponsor"/>
      </w:pPr>
      <w:r>
        <w:t>SYNOPSIS</w:t>
      </w:r>
    </w:p>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B6970">
        <w:rPr>
          <w:spacing w:val="0"/>
        </w:rPr>
        <w:t>Makes FY 2021 supplemental appropriation of $180 million to DCF, DHS, and DOH for increased rates for social service and early intervention providers in financial distress due to coronavirus disease 2019 public health crisis.</w:t>
      </w:r>
    </w:p>
    <w:p w:rsidR="00F22B90" w:rsidRDefault="00F22B90" w:rsidP="00F22B90">
      <w:pPr>
        <w:pStyle w:val="bpuNormText"/>
      </w:pPr>
    </w:p>
    <w:p w:rsidR="00F22B90" w:rsidRDefault="00F22B90" w:rsidP="00F22B90">
      <w:pPr>
        <w:pStyle w:val="bpuSponsor"/>
      </w:pPr>
      <w:r>
        <w:t xml:space="preserve">CURRENT VERSION OF TEXT </w:t>
      </w:r>
    </w:p>
    <w:p w:rsidR="00F22B90" w:rsidRDefault="001B6970" w:rsidP="00F22B90">
      <w:pPr>
        <w:pStyle w:val="bpuNormText"/>
      </w:pPr>
      <w:r>
        <w:tab/>
        <w:t>As reported by the Senate Health, Human Services and Senior Citizens Committee on February 9, 2021, with amendments.</w:t>
      </w:r>
    </w:p>
    <w:p w:rsidR="00F22B90" w:rsidRDefault="00F22B90" w:rsidP="00F22B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2B90" w:rsidRDefault="00F22B90" w:rsidP="008916EC">
      <w:pPr>
        <w:pStyle w:val="FronterPage"/>
        <w:tabs>
          <w:tab w:val="clear" w:pos="720"/>
          <w:tab w:val="clear" w:pos="1440"/>
          <w:tab w:val="clear" w:pos="2160"/>
          <w:tab w:val="clear" w:pos="2880"/>
          <w:tab w:val="clear" w:pos="3600"/>
          <w:tab w:val="clear" w:pos="4320"/>
          <w:tab w:val="clear" w:pos="5040"/>
        </w:tabs>
        <w:sectPr w:rsidR="00F22B90" w:rsidSect="00F22B90">
          <w:type w:val="continuous"/>
          <w:pgSz w:w="12240" w:h="20160" w:code="5"/>
          <w:pgMar w:top="1440" w:right="2275" w:bottom="1440" w:left="2275" w:header="72" w:footer="720" w:gutter="0"/>
          <w:pgNumType w:start="1"/>
          <w:cols w:space="720"/>
          <w:docGrid w:linePitch="360"/>
        </w:sectPr>
      </w:pPr>
    </w:p>
    <w:p w:rsidR="00686AEB" w:rsidRPr="00677316" w:rsidRDefault="003C40E8"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3C40E8">
        <w:rPr>
          <w:rStyle w:val="BillHeading2"/>
        </w:rPr>
        <w:t>Be It Enacted</w:t>
      </w:r>
      <w:r>
        <w:rPr>
          <w:rStyle w:val="BillHeading2"/>
        </w:rPr>
        <w:t xml:space="preserve"> </w:t>
      </w:r>
      <w:r w:rsidR="003C40E8">
        <w:rPr>
          <w:rStyle w:val="BillLanguage"/>
        </w:rPr>
        <w:t>by the Senate and the General Assembly of the State of New Jersey:</w:t>
      </w:r>
    </w:p>
    <w:p w:rsidR="00686AEB" w:rsidRPr="00D71D68" w:rsidRDefault="00686AEB" w:rsidP="00686AEB"/>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6970">
        <w:rPr>
          <w:spacing w:val="0"/>
        </w:rPr>
        <w:tab/>
        <w:t>1.  In addition to the amounts appropriated under P.L.2020, c.97, the annual appropriations act for Fiscal Year 2020-2021, there is appropriated the following sum for the purpose specified:</w:t>
      </w:r>
    </w:p>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1B6970" w:rsidRPr="001B6970" w:rsidTr="00DE181E">
        <w:trPr>
          <w:trHeight w:val="900"/>
        </w:trPr>
        <w:tc>
          <w:tcPr>
            <w:tcW w:w="8625" w:type="dxa"/>
            <w:gridSpan w:val="5"/>
            <w:vAlign w:val="center"/>
          </w:tcPr>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87" w:hanging="187"/>
              <w:jc w:val="center"/>
              <w:rPr>
                <w:b/>
                <w:spacing w:val="0"/>
                <w:sz w:val="26"/>
                <w:szCs w:val="26"/>
              </w:rPr>
            </w:pPr>
          </w:p>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87" w:hanging="187"/>
              <w:jc w:val="center"/>
              <w:rPr>
                <w:b/>
                <w:spacing w:val="0"/>
                <w:sz w:val="26"/>
                <w:szCs w:val="26"/>
              </w:rPr>
            </w:pPr>
            <w:r w:rsidRPr="001B6970">
              <w:rPr>
                <w:b/>
                <w:spacing w:val="0"/>
                <w:sz w:val="26"/>
                <w:szCs w:val="26"/>
              </w:rPr>
              <w:t>94 Interdepartmental Accounts</w:t>
            </w:r>
          </w:p>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87" w:hanging="187"/>
              <w:jc w:val="center"/>
              <w:rPr>
                <w:b/>
                <w:i/>
                <w:spacing w:val="0"/>
                <w:sz w:val="22"/>
                <w:szCs w:val="22"/>
              </w:rPr>
            </w:pPr>
            <w:r w:rsidRPr="001B6970">
              <w:rPr>
                <w:b/>
                <w:i/>
                <w:spacing w:val="0"/>
                <w:sz w:val="22"/>
                <w:szCs w:val="22"/>
              </w:rPr>
              <w:t>70 Government Direction, Management, and Control</w:t>
            </w:r>
          </w:p>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87" w:hanging="187"/>
              <w:jc w:val="center"/>
              <w:rPr>
                <w:b/>
                <w:i/>
                <w:spacing w:val="0"/>
                <w:sz w:val="22"/>
                <w:szCs w:val="22"/>
              </w:rPr>
            </w:pPr>
            <w:r w:rsidRPr="001B6970">
              <w:rPr>
                <w:b/>
                <w:i/>
                <w:spacing w:val="0"/>
                <w:sz w:val="22"/>
                <w:szCs w:val="22"/>
              </w:rPr>
              <w:t>74 General Government Services</w:t>
            </w:r>
          </w:p>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87" w:hanging="187"/>
              <w:jc w:val="center"/>
              <w:rPr>
                <w:b/>
                <w:i/>
                <w:spacing w:val="0"/>
                <w:sz w:val="22"/>
                <w:szCs w:val="22"/>
              </w:rPr>
            </w:pPr>
            <w:r w:rsidRPr="001B6970">
              <w:rPr>
                <w:b/>
                <w:i/>
                <w:spacing w:val="0"/>
                <w:sz w:val="22"/>
                <w:szCs w:val="22"/>
              </w:rPr>
              <w:t>9420 Other Interdepartmental Accounts</w:t>
            </w:r>
          </w:p>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b/>
                <w:spacing w:val="0"/>
                <w:u w:val="single"/>
              </w:rPr>
            </w:pPr>
            <w:r w:rsidRPr="001B6970">
              <w:rPr>
                <w:b/>
                <w:spacing w:val="0"/>
                <w:u w:val="single"/>
              </w:rPr>
              <w:t>GRANTS-IN-AID</w:t>
            </w:r>
          </w:p>
        </w:tc>
      </w:tr>
      <w:tr w:rsidR="001B6970" w:rsidRPr="001B6970" w:rsidTr="00DE181E">
        <w:trPr>
          <w:trHeight w:val="144"/>
        </w:trPr>
        <w:tc>
          <w:tcPr>
            <w:tcW w:w="956" w:type="dxa"/>
            <w:shd w:val="clear" w:color="auto" w:fill="auto"/>
            <w:tcMar>
              <w:left w:w="115" w:type="dxa"/>
            </w:tcMar>
          </w:tcPr>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r w:rsidRPr="001B6970">
              <w:rPr>
                <w:spacing w:val="0"/>
                <w:sz w:val="22"/>
                <w:szCs w:val="22"/>
              </w:rPr>
              <w:t>04-9429</w:t>
            </w:r>
          </w:p>
        </w:tc>
        <w:tc>
          <w:tcPr>
            <w:tcW w:w="6139" w:type="dxa"/>
            <w:gridSpan w:val="3"/>
            <w:shd w:val="clear" w:color="auto" w:fill="auto"/>
          </w:tcPr>
          <w:p w:rsidR="001B6970" w:rsidRPr="001B6970" w:rsidRDefault="001B6970" w:rsidP="001B6970">
            <w:pPr>
              <w:ind w:left="302" w:hanging="187"/>
              <w:jc w:val="left"/>
              <w:rPr>
                <w:sz w:val="22"/>
                <w:szCs w:val="22"/>
              </w:rPr>
            </w:pPr>
            <w:r w:rsidRPr="001B6970">
              <w:rPr>
                <w:sz w:val="22"/>
                <w:szCs w:val="22"/>
              </w:rPr>
              <w:t>Other Interdepartmental Accounts................................................</w:t>
            </w:r>
          </w:p>
        </w:tc>
        <w:tc>
          <w:tcPr>
            <w:tcW w:w="1530" w:type="dxa"/>
            <w:shd w:val="clear" w:color="auto" w:fill="auto"/>
            <w:tcMar>
              <w:left w:w="0" w:type="dxa"/>
            </w:tcMar>
            <w:vAlign w:val="bottom"/>
          </w:tcPr>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right"/>
              <w:rPr>
                <w:spacing w:val="0"/>
                <w:sz w:val="22"/>
                <w:szCs w:val="22"/>
              </w:rPr>
            </w:pPr>
            <w:r w:rsidRPr="001B6970">
              <w:rPr>
                <w:spacing w:val="0"/>
                <w:sz w:val="22"/>
                <w:szCs w:val="22"/>
              </w:rPr>
              <w:t>$180,000,000</w:t>
            </w:r>
          </w:p>
        </w:tc>
      </w:tr>
      <w:tr w:rsidR="001B6970" w:rsidRPr="001B6970" w:rsidTr="00DE181E">
        <w:trPr>
          <w:trHeight w:val="635"/>
        </w:trPr>
        <w:tc>
          <w:tcPr>
            <w:tcW w:w="956" w:type="dxa"/>
            <w:shd w:val="clear" w:color="auto" w:fill="auto"/>
            <w:tcMar>
              <w:left w:w="576" w:type="dxa"/>
              <w:right w:w="216" w:type="dxa"/>
            </w:tcMar>
          </w:tcPr>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p>
        </w:tc>
        <w:tc>
          <w:tcPr>
            <w:tcW w:w="6139" w:type="dxa"/>
            <w:gridSpan w:val="3"/>
            <w:shd w:val="clear" w:color="auto" w:fill="auto"/>
          </w:tcPr>
          <w:p w:rsidR="001B6970" w:rsidRPr="001B6970" w:rsidRDefault="001B6970" w:rsidP="001B6970">
            <w:pPr>
              <w:ind w:left="302" w:hanging="187"/>
              <w:jc w:val="left"/>
              <w:rPr>
                <w:sz w:val="22"/>
                <w:szCs w:val="22"/>
              </w:rPr>
            </w:pPr>
            <w:r w:rsidRPr="001B6970">
              <w:rPr>
                <w:sz w:val="22"/>
                <w:szCs w:val="22"/>
              </w:rPr>
              <w:t>Total Grants-in-Aid Appropriation,                                     General Government Services……………......…………………</w:t>
            </w:r>
          </w:p>
        </w:tc>
        <w:tc>
          <w:tcPr>
            <w:tcW w:w="1530" w:type="dxa"/>
            <w:tcBorders>
              <w:top w:val="single" w:sz="4" w:space="0" w:color="auto"/>
              <w:bottom w:val="single" w:sz="4" w:space="0" w:color="auto"/>
            </w:tcBorders>
            <w:shd w:val="clear" w:color="auto" w:fill="auto"/>
            <w:tcMar>
              <w:left w:w="0" w:type="dxa"/>
            </w:tcMar>
            <w:vAlign w:val="bottom"/>
          </w:tcPr>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right"/>
              <w:rPr>
                <w:spacing w:val="0"/>
                <w:sz w:val="22"/>
                <w:szCs w:val="22"/>
              </w:rPr>
            </w:pPr>
            <w:r w:rsidRPr="001B6970">
              <w:rPr>
                <w:spacing w:val="0"/>
                <w:sz w:val="22"/>
                <w:szCs w:val="22"/>
              </w:rPr>
              <w:t>$180,000,000</w:t>
            </w:r>
          </w:p>
        </w:tc>
      </w:tr>
      <w:tr w:rsidR="001B6970" w:rsidRPr="001B6970" w:rsidTr="00DE181E">
        <w:trPr>
          <w:trHeight w:val="183"/>
        </w:trPr>
        <w:tc>
          <w:tcPr>
            <w:tcW w:w="5475" w:type="dxa"/>
            <w:gridSpan w:val="3"/>
            <w:shd w:val="clear" w:color="auto" w:fill="auto"/>
            <w:tcMar>
              <w:left w:w="115" w:type="dxa"/>
            </w:tcMar>
          </w:tcPr>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i/>
                <w:spacing w:val="0"/>
                <w:sz w:val="22"/>
                <w:szCs w:val="22"/>
              </w:rPr>
            </w:pPr>
            <w:r w:rsidRPr="001B6970">
              <w:rPr>
                <w:b/>
                <w:i/>
                <w:spacing w:val="0"/>
                <w:sz w:val="22"/>
                <w:szCs w:val="22"/>
              </w:rPr>
              <w:t>Grants-in-Aid:</w:t>
            </w:r>
          </w:p>
        </w:tc>
        <w:tc>
          <w:tcPr>
            <w:tcW w:w="1620" w:type="dxa"/>
            <w:shd w:val="clear" w:color="auto" w:fill="auto"/>
            <w:vAlign w:val="center"/>
          </w:tcPr>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p>
        </w:tc>
        <w:tc>
          <w:tcPr>
            <w:tcW w:w="1530" w:type="dxa"/>
            <w:tcBorders>
              <w:top w:val="single" w:sz="4" w:space="0" w:color="auto"/>
            </w:tcBorders>
            <w:shd w:val="clear" w:color="auto" w:fill="auto"/>
            <w:vAlign w:val="center"/>
          </w:tcPr>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p>
        </w:tc>
      </w:tr>
      <w:tr w:rsidR="001B6970" w:rsidRPr="001B6970" w:rsidTr="00DE181E">
        <w:trPr>
          <w:trHeight w:val="144"/>
        </w:trPr>
        <w:tc>
          <w:tcPr>
            <w:tcW w:w="975" w:type="dxa"/>
            <w:gridSpan w:val="2"/>
            <w:shd w:val="clear" w:color="auto" w:fill="auto"/>
            <w:tcMar>
              <w:left w:w="115" w:type="dxa"/>
            </w:tcMar>
          </w:tcPr>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right"/>
              <w:rPr>
                <w:spacing w:val="0"/>
                <w:sz w:val="22"/>
                <w:szCs w:val="22"/>
              </w:rPr>
            </w:pPr>
            <w:r w:rsidRPr="001B6970">
              <w:rPr>
                <w:spacing w:val="0"/>
                <w:sz w:val="22"/>
                <w:szCs w:val="22"/>
              </w:rPr>
              <w:t xml:space="preserve">22 </w:t>
            </w:r>
          </w:p>
        </w:tc>
        <w:tc>
          <w:tcPr>
            <w:tcW w:w="4500" w:type="dxa"/>
            <w:shd w:val="clear" w:color="auto" w:fill="auto"/>
          </w:tcPr>
          <w:p w:rsidR="001B6970" w:rsidRPr="001B6970" w:rsidRDefault="001B6970" w:rsidP="001B6970">
            <w:pPr>
              <w:ind w:left="302" w:hanging="187"/>
              <w:jc w:val="left"/>
              <w:rPr>
                <w:sz w:val="22"/>
                <w:szCs w:val="22"/>
              </w:rPr>
            </w:pPr>
            <w:r w:rsidRPr="001B6970">
              <w:rPr>
                <w:sz w:val="22"/>
                <w:szCs w:val="22"/>
              </w:rPr>
              <w:t>COVID-19 Social Services Provider Rate Increase ..........................................</w:t>
            </w:r>
          </w:p>
        </w:tc>
        <w:tc>
          <w:tcPr>
            <w:tcW w:w="1620" w:type="dxa"/>
            <w:shd w:val="clear" w:color="auto" w:fill="auto"/>
            <w:vAlign w:val="bottom"/>
          </w:tcPr>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right"/>
              <w:rPr>
                <w:spacing w:val="0"/>
                <w:sz w:val="22"/>
                <w:szCs w:val="22"/>
              </w:rPr>
            </w:pPr>
            <w:r w:rsidRPr="001B6970">
              <w:rPr>
                <w:spacing w:val="0"/>
                <w:sz w:val="22"/>
                <w:szCs w:val="22"/>
              </w:rPr>
              <w:t>($180,000,000)</w:t>
            </w:r>
          </w:p>
        </w:tc>
        <w:tc>
          <w:tcPr>
            <w:tcW w:w="1530" w:type="dxa"/>
            <w:shd w:val="clear" w:color="auto" w:fill="auto"/>
            <w:vAlign w:val="center"/>
          </w:tcPr>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p>
        </w:tc>
      </w:tr>
    </w:tbl>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B6970" w:rsidRPr="001B6970" w:rsidRDefault="001B6970" w:rsidP="001B69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6970">
        <w:rPr>
          <w:spacing w:val="0"/>
        </w:rPr>
        <w:t xml:space="preserve">Notwithstanding the provisions of any law or regulation to the contrary, the amount hereinabove appropriated for COVID-19 Social Services Provider Rate Increase shall be used to increase provider </w:t>
      </w:r>
      <w:r w:rsidRPr="001B6970">
        <w:rPr>
          <w:rFonts w:ascii="Albertus Extra Bold" w:hAnsi="Albertus Extra Bold"/>
          <w:b/>
          <w:vertAlign w:val="superscript"/>
        </w:rPr>
        <w:t>1</w:t>
      </w:r>
      <w:r w:rsidRPr="001B6970">
        <w:rPr>
          <w:rFonts w:ascii="Albertus Extra Bold" w:hAnsi="Albertus Extra Bold"/>
          <w:b/>
        </w:rPr>
        <w:t>[</w:t>
      </w:r>
      <w:r w:rsidRPr="001B6970">
        <w:rPr>
          <w:spacing w:val="0"/>
        </w:rPr>
        <w:t>rates</w:t>
      </w:r>
      <w:r w:rsidRPr="001B6970">
        <w:rPr>
          <w:rFonts w:ascii="Albertus Extra Bold" w:hAnsi="Albertus Extra Bold"/>
          <w:b/>
        </w:rPr>
        <w:t>]</w:t>
      </w:r>
      <w:r w:rsidRPr="001B6970">
        <w:rPr>
          <w:spacing w:val="0"/>
        </w:rPr>
        <w:t xml:space="preserve"> </w:t>
      </w:r>
      <w:r w:rsidRPr="001B6970">
        <w:rPr>
          <w:spacing w:val="0"/>
          <w:u w:val="single"/>
        </w:rPr>
        <w:t>payments</w:t>
      </w:r>
      <w:r w:rsidRPr="001B6970">
        <w:rPr>
          <w:rFonts w:ascii="Albertus Extra Bold" w:hAnsi="Albertus Extra Bold"/>
          <w:b/>
          <w:vertAlign w:val="superscript"/>
        </w:rPr>
        <w:t>1</w:t>
      </w:r>
      <w:r w:rsidRPr="001B6970">
        <w:rPr>
          <w:spacing w:val="0"/>
        </w:rPr>
        <w:t xml:space="preserve"> issued to social service providers, under contract or a fee-for-service agreement with the Department of Children and Families or any division in the Department of Human Services, </w:t>
      </w:r>
      <w:r w:rsidRPr="001B6970">
        <w:rPr>
          <w:rFonts w:ascii="Albertus Extra Bold" w:hAnsi="Albertus Extra Bold"/>
          <w:b/>
          <w:vertAlign w:val="superscript"/>
        </w:rPr>
        <w:t>1</w:t>
      </w:r>
      <w:r w:rsidRPr="001B6970">
        <w:rPr>
          <w:spacing w:val="0"/>
          <w:u w:val="single"/>
        </w:rPr>
        <w:t>as well as to early intervention service providers under contract or other agreement with any division in the Department of Health,</w:t>
      </w:r>
      <w:r w:rsidRPr="001B6970">
        <w:rPr>
          <w:rFonts w:ascii="Albertus Extra Bold" w:hAnsi="Albertus Extra Bold"/>
          <w:b/>
          <w:vertAlign w:val="superscript"/>
        </w:rPr>
        <w:t>1</w:t>
      </w:r>
      <w:r w:rsidRPr="001B6970">
        <w:rPr>
          <w:spacing w:val="0"/>
        </w:rPr>
        <w:t xml:space="preserve"> that are determined, according to parameters established by the commissioners of those departments, to be in extreme financial distress or at risk of being in extreme financial distress due to the effects of the coronavirus 2019 public health crisis.  Any </w:t>
      </w:r>
      <w:r w:rsidRPr="001B6970">
        <w:rPr>
          <w:rFonts w:ascii="Albertus Extra Bold" w:hAnsi="Albertus Extra Bold"/>
          <w:b/>
          <w:vertAlign w:val="superscript"/>
        </w:rPr>
        <w:t>1</w:t>
      </w:r>
      <w:r w:rsidRPr="001B6970">
        <w:rPr>
          <w:rFonts w:ascii="Albertus Extra Bold" w:hAnsi="Albertus Extra Bold"/>
          <w:b/>
        </w:rPr>
        <w:t>[</w:t>
      </w:r>
      <w:r w:rsidRPr="001B6970">
        <w:rPr>
          <w:spacing w:val="0"/>
        </w:rPr>
        <w:t>rate</w:t>
      </w:r>
      <w:r w:rsidRPr="001B6970">
        <w:rPr>
          <w:rFonts w:ascii="Albertus Extra Bold" w:hAnsi="Albertus Extra Bold"/>
          <w:b/>
        </w:rPr>
        <w:t>]</w:t>
      </w:r>
      <w:r w:rsidRPr="001B6970">
        <w:rPr>
          <w:spacing w:val="0"/>
        </w:rPr>
        <w:t xml:space="preserve"> </w:t>
      </w:r>
      <w:r w:rsidRPr="001B6970">
        <w:rPr>
          <w:spacing w:val="0"/>
          <w:u w:val="single"/>
        </w:rPr>
        <w:t>payment</w:t>
      </w:r>
      <w:r w:rsidRPr="001B6970">
        <w:rPr>
          <w:rFonts w:ascii="Albertus Extra Bold" w:hAnsi="Albertus Extra Bold"/>
          <w:b/>
          <w:vertAlign w:val="superscript"/>
        </w:rPr>
        <w:t>1</w:t>
      </w:r>
      <w:r w:rsidRPr="001B6970">
        <w:rPr>
          <w:spacing w:val="0"/>
        </w:rPr>
        <w:t xml:space="preserve"> increase provided under this provision shall be retroactive to all payments issued to a provider in FY 2021.  Providers included under this </w:t>
      </w:r>
      <w:r w:rsidRPr="001B6970">
        <w:rPr>
          <w:rFonts w:ascii="Albertus Extra Bold" w:hAnsi="Albertus Extra Bold"/>
          <w:b/>
          <w:vertAlign w:val="superscript"/>
        </w:rPr>
        <w:t>1</w:t>
      </w:r>
      <w:r w:rsidRPr="001B6970">
        <w:rPr>
          <w:rFonts w:ascii="Albertus Extra Bold" w:hAnsi="Albertus Extra Bold"/>
          <w:b/>
        </w:rPr>
        <w:t>[</w:t>
      </w:r>
      <w:r w:rsidRPr="001B6970">
        <w:rPr>
          <w:spacing w:val="0"/>
        </w:rPr>
        <w:t>rate</w:t>
      </w:r>
      <w:r w:rsidRPr="001B6970">
        <w:rPr>
          <w:rFonts w:ascii="Albertus Extra Bold" w:hAnsi="Albertus Extra Bold"/>
          <w:b/>
        </w:rPr>
        <w:t>]</w:t>
      </w:r>
      <w:r w:rsidRPr="001B6970">
        <w:rPr>
          <w:spacing w:val="0"/>
        </w:rPr>
        <w:t xml:space="preserve"> </w:t>
      </w:r>
      <w:r w:rsidRPr="001B6970">
        <w:rPr>
          <w:spacing w:val="0"/>
          <w:u w:val="single"/>
        </w:rPr>
        <w:t>payment</w:t>
      </w:r>
      <w:r w:rsidRPr="001B6970">
        <w:rPr>
          <w:rFonts w:ascii="Albertus Extra Bold" w:hAnsi="Albertus Extra Bold"/>
          <w:b/>
          <w:vertAlign w:val="superscript"/>
        </w:rPr>
        <w:t>1</w:t>
      </w:r>
      <w:r w:rsidRPr="001B6970">
        <w:rPr>
          <w:spacing w:val="0"/>
        </w:rPr>
        <w:t xml:space="preserve"> increase shall include, but shall not be limited to, day habilitation providers, adult day care providers, </w:t>
      </w:r>
      <w:r w:rsidRPr="001B6970">
        <w:rPr>
          <w:rFonts w:ascii="Albertus Extra Bold" w:hAnsi="Albertus Extra Bold"/>
          <w:b/>
          <w:vertAlign w:val="superscript"/>
        </w:rPr>
        <w:t>1</w:t>
      </w:r>
      <w:r w:rsidRPr="001B6970">
        <w:rPr>
          <w:spacing w:val="0"/>
          <w:u w:val="single"/>
        </w:rPr>
        <w:t>early intervention providers,</w:t>
      </w:r>
      <w:r w:rsidRPr="001B6970">
        <w:rPr>
          <w:rFonts w:ascii="Albertus Extra Bold" w:hAnsi="Albertus Extra Bold"/>
          <w:b/>
          <w:vertAlign w:val="superscript"/>
        </w:rPr>
        <w:t>1</w:t>
      </w:r>
      <w:r w:rsidRPr="001B6970">
        <w:rPr>
          <w:spacing w:val="0"/>
        </w:rPr>
        <w:t xml:space="preserve"> childcare providers, behavioral health providers, and substance use disorder providers.  Of the $180,000,000, the appropriate amounts, as determined by the Director of the Division of Budget and Accounting and approved by the Joint Budget Oversight Committee, shall be transferred, as necessary, to the departments and divisions contracting with social services providers </w:t>
      </w:r>
      <w:r w:rsidRPr="001B6970">
        <w:rPr>
          <w:rFonts w:ascii="Albertus Extra Bold" w:hAnsi="Albertus Extra Bold"/>
          <w:b/>
          <w:vertAlign w:val="superscript"/>
        </w:rPr>
        <w:t>1</w:t>
      </w:r>
      <w:r w:rsidRPr="001B6970">
        <w:rPr>
          <w:spacing w:val="0"/>
          <w:u w:val="single"/>
        </w:rPr>
        <w:t>and early intervention services providers</w:t>
      </w:r>
      <w:r w:rsidRPr="001B6970">
        <w:rPr>
          <w:rFonts w:ascii="Albertus Extra Bold" w:hAnsi="Albertus Extra Bold"/>
          <w:b/>
          <w:vertAlign w:val="superscript"/>
        </w:rPr>
        <w:t>1</w:t>
      </w:r>
      <w:r w:rsidRPr="001B6970">
        <w:rPr>
          <w:spacing w:val="0"/>
        </w:rPr>
        <w:t xml:space="preserve"> in order to effectuate this provision.  At least 10 days prior to the transfer of such amounts, the Director of the Division of Budget and Accounting shall submit a report to the Joint Budget Oversight Committee detailing, for each department and division, the specific providers that will receive a </w:t>
      </w:r>
      <w:r w:rsidRPr="001B6970">
        <w:rPr>
          <w:rFonts w:ascii="Albertus Extra Bold" w:hAnsi="Albertus Extra Bold"/>
          <w:b/>
          <w:vertAlign w:val="superscript"/>
        </w:rPr>
        <w:t>1</w:t>
      </w:r>
      <w:r w:rsidRPr="001B6970">
        <w:rPr>
          <w:rFonts w:ascii="Albertus Extra Bold" w:hAnsi="Albertus Extra Bold"/>
          <w:b/>
        </w:rPr>
        <w:t>[</w:t>
      </w:r>
      <w:r w:rsidRPr="001B6970">
        <w:rPr>
          <w:spacing w:val="0"/>
        </w:rPr>
        <w:t>rate</w:t>
      </w:r>
      <w:r w:rsidRPr="001B6970">
        <w:rPr>
          <w:rFonts w:ascii="Albertus Extra Bold" w:hAnsi="Albertus Extra Bold"/>
          <w:b/>
        </w:rPr>
        <w:t>]</w:t>
      </w:r>
      <w:r w:rsidRPr="001B6970">
        <w:rPr>
          <w:spacing w:val="0"/>
        </w:rPr>
        <w:t xml:space="preserve"> </w:t>
      </w:r>
      <w:r w:rsidRPr="001B6970">
        <w:rPr>
          <w:spacing w:val="0"/>
          <w:u w:val="single"/>
        </w:rPr>
        <w:t>payment</w:t>
      </w:r>
      <w:r w:rsidRPr="001B6970">
        <w:rPr>
          <w:rFonts w:ascii="Albertus Extra Bold" w:hAnsi="Albertus Extra Bold"/>
          <w:b/>
          <w:vertAlign w:val="superscript"/>
        </w:rPr>
        <w:t>1</w:t>
      </w:r>
      <w:r w:rsidRPr="001B6970">
        <w:rPr>
          <w:spacing w:val="0"/>
        </w:rPr>
        <w:t xml:space="preserve"> increase and an explanation of how the amounts associated with the </w:t>
      </w:r>
      <w:r w:rsidRPr="001B6970">
        <w:rPr>
          <w:rFonts w:ascii="Albertus Extra Bold" w:hAnsi="Albertus Extra Bold"/>
          <w:b/>
          <w:vertAlign w:val="superscript"/>
        </w:rPr>
        <w:t>1</w:t>
      </w:r>
      <w:r w:rsidRPr="001B6970">
        <w:rPr>
          <w:rFonts w:ascii="Albertus Extra Bold" w:hAnsi="Albertus Extra Bold"/>
          <w:b/>
        </w:rPr>
        <w:t>[</w:t>
      </w:r>
      <w:r w:rsidRPr="001B6970">
        <w:rPr>
          <w:spacing w:val="0"/>
        </w:rPr>
        <w:t>rate</w:t>
      </w:r>
      <w:r w:rsidRPr="001B6970">
        <w:rPr>
          <w:rFonts w:ascii="Albertus Extra Bold" w:hAnsi="Albertus Extra Bold"/>
          <w:b/>
        </w:rPr>
        <w:t>]</w:t>
      </w:r>
      <w:r w:rsidRPr="001B6970">
        <w:rPr>
          <w:spacing w:val="0"/>
        </w:rPr>
        <w:t xml:space="preserve"> </w:t>
      </w:r>
      <w:r w:rsidRPr="001B6970">
        <w:rPr>
          <w:spacing w:val="0"/>
          <w:u w:val="single"/>
        </w:rPr>
        <w:t>payment</w:t>
      </w:r>
      <w:r w:rsidRPr="001B6970">
        <w:rPr>
          <w:rFonts w:ascii="Albertus Extra Bold" w:hAnsi="Albertus Extra Bold"/>
          <w:b/>
          <w:vertAlign w:val="superscript"/>
        </w:rPr>
        <w:t>1</w:t>
      </w:r>
      <w:r w:rsidRPr="001B6970">
        <w:rPr>
          <w:spacing w:val="0"/>
        </w:rPr>
        <w:t xml:space="preserve"> increase were calculated.  The Director of the Division of Budget and Accounting shall not be authorized to transfer any amounts without the approval of the Joint Budget Oversight Committee, provided that no action taken by the committee within 10 days of receiving a report from the director shall be deemed approval of the transfer.  No more than 90 days after June 30, 2021, the Director of the Division of Budget and Accounting shall submit a report to the Joint Budget Oversight Committee outlining the allocation of this appropriation as compared to the details provided in all previously approved transfer reports.  This report shall also indicate the total amount expended from this appropriation, and any unexpended balances that are encumbered or will lapse. </w:t>
      </w:r>
    </w:p>
    <w:p w:rsidR="003C40E8" w:rsidRDefault="003C40E8" w:rsidP="00686AEB"/>
    <w:p w:rsidR="00E22062" w:rsidRPr="00AA7880" w:rsidRDefault="00E22062" w:rsidP="00E22062">
      <w:r>
        <w:tab/>
        <w:t>2.</w:t>
      </w:r>
      <w:r>
        <w:tab/>
        <w:t>This act shall take effect immediately.</w:t>
      </w:r>
    </w:p>
    <w:sectPr w:rsidR="00E22062" w:rsidRPr="00AA7880" w:rsidSect="00F22B9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D0A" w:rsidRDefault="00407D0A">
      <w:r>
        <w:separator/>
      </w:r>
    </w:p>
  </w:endnote>
  <w:endnote w:type="continuationSeparator" w:id="0">
    <w:p w:rsidR="00407D0A" w:rsidRDefault="00407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A50" w:rsidRDefault="00F61474" w:rsidP="00F61474">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970" w:rsidRPr="00921C91" w:rsidRDefault="001B69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6970" w:rsidRPr="00921C91" w:rsidRDefault="001B6970">
    <w:pPr>
      <w:pStyle w:val="Footer"/>
      <w:rPr>
        <w:szCs w:val="18"/>
      </w:rPr>
    </w:pPr>
  </w:p>
  <w:p w:rsidR="001B6970" w:rsidRPr="00921C91" w:rsidRDefault="001B69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6970" w:rsidRDefault="001B6970" w:rsidP="00686AEB">
    <w:pPr>
      <w:pStyle w:val="Footer"/>
    </w:pPr>
    <w:r>
      <w:tab/>
      <w:t>Matter enclosed in superscript numerals has been adopted as follows:</w:t>
    </w:r>
  </w:p>
  <w:p w:rsidR="001B6970" w:rsidRDefault="001B697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February 9, 2021.</w:t>
    </w:r>
  </w:p>
  <w:p w:rsidR="001B6970" w:rsidRPr="001B6970" w:rsidRDefault="001B697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D0A" w:rsidRDefault="00407D0A">
      <w:r>
        <w:separator/>
      </w:r>
    </w:p>
  </w:footnote>
  <w:footnote w:type="continuationSeparator" w:id="0">
    <w:p w:rsidR="00407D0A" w:rsidRDefault="00407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34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2B90" w:rsidRDefault="00F22B90" w:rsidP="00F22B90">
    <w:pPr>
      <w:pStyle w:val="bpuHeadSpon"/>
    </w:pPr>
    <w:r w:rsidRPr="00F22B90">
      <w:rPr>
        <w:rStyle w:val="bpuHeadSponChar"/>
      </w:rPr>
      <w:t>S3323</w:t>
    </w:r>
    <w:r>
      <w:t xml:space="preserve"> </w:t>
    </w:r>
    <w:r w:rsidR="001B6970">
      <w:t xml:space="preserve">[1R] </w:t>
    </w:r>
    <w:r>
      <w:t>SWEENEY</w:t>
    </w:r>
    <w:r w:rsidR="006E0A50">
      <w:t>, SINGLETON</w:t>
    </w:r>
  </w:p>
  <w:p w:rsidR="00F22B90" w:rsidRDefault="00F22B90" w:rsidP="00F22B90">
    <w:pPr>
      <w:pStyle w:val="bpuHeadSpon"/>
    </w:pPr>
    <w:r>
      <w:fldChar w:fldCharType="begin"/>
    </w:r>
    <w:r>
      <w:instrText xml:space="preserve"> PAGE  \* MERGEFORMAT </w:instrText>
    </w:r>
    <w:r>
      <w:fldChar w:fldCharType="separate"/>
    </w:r>
    <w:r w:rsidR="003434CE">
      <w:rPr>
        <w:noProof/>
      </w:rPr>
      <w:t>3</w:t>
    </w:r>
    <w:r>
      <w:fldChar w:fldCharType="end"/>
    </w:r>
  </w:p>
  <w:p w:rsidR="00F22B90" w:rsidRDefault="00F22B90" w:rsidP="00F22B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2B90" w:rsidRDefault="00F22B90" w:rsidP="00F22B90">
    <w:pPr>
      <w:pStyle w:val="bpuHeadSpon"/>
    </w:pPr>
    <w:r w:rsidRPr="00F22B90">
      <w:rPr>
        <w:rStyle w:val="bpuHeadSponChar"/>
      </w:rPr>
      <w:t>S3323</w:t>
    </w:r>
    <w:r>
      <w:t xml:space="preserve"> </w:t>
    </w:r>
    <w:r w:rsidR="001B6970">
      <w:t xml:space="preserve">[1R] </w:t>
    </w:r>
    <w:r>
      <w:t>SWEENEY</w:t>
    </w:r>
    <w:r w:rsidR="006E0A50">
      <w:t>, SINGLETON</w:t>
    </w:r>
  </w:p>
  <w:p w:rsidR="00F22B90" w:rsidRDefault="00F22B90" w:rsidP="00F22B90">
    <w:pPr>
      <w:pStyle w:val="bpuHeadSpon"/>
    </w:pPr>
    <w:r>
      <w:fldChar w:fldCharType="begin"/>
    </w:r>
    <w:r>
      <w:instrText xml:space="preserve"> PAGE  \* MERGEFORMAT </w:instrText>
    </w:r>
    <w:r>
      <w:fldChar w:fldCharType="separate"/>
    </w:r>
    <w:r w:rsidR="003434CE">
      <w:rPr>
        <w:noProof/>
      </w:rPr>
      <w:t>2</w:t>
    </w:r>
    <w:r>
      <w:fldChar w:fldCharType="end"/>
    </w:r>
  </w:p>
  <w:p w:rsidR="00F22B90" w:rsidRDefault="00F22B90" w:rsidP="00F22B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D0A"/>
    <w:rsid w:val="000006D6"/>
    <w:rsid w:val="000051BD"/>
    <w:rsid w:val="000160A5"/>
    <w:rsid w:val="0001756E"/>
    <w:rsid w:val="0002335B"/>
    <w:rsid w:val="0003549A"/>
    <w:rsid w:val="000367AE"/>
    <w:rsid w:val="00043B22"/>
    <w:rsid w:val="00054975"/>
    <w:rsid w:val="00057D20"/>
    <w:rsid w:val="0006197C"/>
    <w:rsid w:val="0006281F"/>
    <w:rsid w:val="000650B3"/>
    <w:rsid w:val="0008141C"/>
    <w:rsid w:val="00094A55"/>
    <w:rsid w:val="00096787"/>
    <w:rsid w:val="00096BF7"/>
    <w:rsid w:val="000A44A7"/>
    <w:rsid w:val="000B1054"/>
    <w:rsid w:val="000B3411"/>
    <w:rsid w:val="000C054C"/>
    <w:rsid w:val="000C12C2"/>
    <w:rsid w:val="000C5038"/>
    <w:rsid w:val="000D0EDD"/>
    <w:rsid w:val="000D11AF"/>
    <w:rsid w:val="000D6255"/>
    <w:rsid w:val="000D6262"/>
    <w:rsid w:val="000D7B4A"/>
    <w:rsid w:val="000E4006"/>
    <w:rsid w:val="000F3DA2"/>
    <w:rsid w:val="000F5FDE"/>
    <w:rsid w:val="000F7466"/>
    <w:rsid w:val="00110EF3"/>
    <w:rsid w:val="001254DB"/>
    <w:rsid w:val="0013000E"/>
    <w:rsid w:val="00133F81"/>
    <w:rsid w:val="00135943"/>
    <w:rsid w:val="001434ED"/>
    <w:rsid w:val="0014664C"/>
    <w:rsid w:val="001645FB"/>
    <w:rsid w:val="00173D2B"/>
    <w:rsid w:val="00181676"/>
    <w:rsid w:val="00183603"/>
    <w:rsid w:val="0018410E"/>
    <w:rsid w:val="00194E78"/>
    <w:rsid w:val="0019707B"/>
    <w:rsid w:val="00197E8B"/>
    <w:rsid w:val="00197FA4"/>
    <w:rsid w:val="001A161A"/>
    <w:rsid w:val="001A3B79"/>
    <w:rsid w:val="001A66B6"/>
    <w:rsid w:val="001B3FBD"/>
    <w:rsid w:val="001B4716"/>
    <w:rsid w:val="001B4EA4"/>
    <w:rsid w:val="001B6970"/>
    <w:rsid w:val="001C7C52"/>
    <w:rsid w:val="001D25F3"/>
    <w:rsid w:val="001E03E1"/>
    <w:rsid w:val="001E15F1"/>
    <w:rsid w:val="001E16FA"/>
    <w:rsid w:val="001E496C"/>
    <w:rsid w:val="001E5F61"/>
    <w:rsid w:val="001E6213"/>
    <w:rsid w:val="001F14C7"/>
    <w:rsid w:val="001F7405"/>
    <w:rsid w:val="00201C27"/>
    <w:rsid w:val="00205533"/>
    <w:rsid w:val="00212B8D"/>
    <w:rsid w:val="00216C3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3EA"/>
    <w:rsid w:val="00333704"/>
    <w:rsid w:val="00336624"/>
    <w:rsid w:val="0034025F"/>
    <w:rsid w:val="00340458"/>
    <w:rsid w:val="0034200F"/>
    <w:rsid w:val="003434CE"/>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B35"/>
    <w:rsid w:val="003C40E8"/>
    <w:rsid w:val="003C43EF"/>
    <w:rsid w:val="003C5A6B"/>
    <w:rsid w:val="003C7FB2"/>
    <w:rsid w:val="003D24DE"/>
    <w:rsid w:val="003E26D4"/>
    <w:rsid w:val="003E47BA"/>
    <w:rsid w:val="003F3B37"/>
    <w:rsid w:val="0040195A"/>
    <w:rsid w:val="00402DC0"/>
    <w:rsid w:val="00407D0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3F0"/>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6016"/>
    <w:rsid w:val="005B7B53"/>
    <w:rsid w:val="005C07E4"/>
    <w:rsid w:val="005C2124"/>
    <w:rsid w:val="005C336F"/>
    <w:rsid w:val="005C7F3C"/>
    <w:rsid w:val="005D17A8"/>
    <w:rsid w:val="005D3D4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A50"/>
    <w:rsid w:val="006E2895"/>
    <w:rsid w:val="006F180D"/>
    <w:rsid w:val="006F4334"/>
    <w:rsid w:val="006F47AF"/>
    <w:rsid w:val="006F6B8A"/>
    <w:rsid w:val="0070749E"/>
    <w:rsid w:val="00707CD3"/>
    <w:rsid w:val="00716BB9"/>
    <w:rsid w:val="007256D1"/>
    <w:rsid w:val="007279FD"/>
    <w:rsid w:val="00734E20"/>
    <w:rsid w:val="007502CB"/>
    <w:rsid w:val="00752D79"/>
    <w:rsid w:val="00752E20"/>
    <w:rsid w:val="00756EDE"/>
    <w:rsid w:val="00764456"/>
    <w:rsid w:val="00765184"/>
    <w:rsid w:val="00781B4D"/>
    <w:rsid w:val="007824BF"/>
    <w:rsid w:val="00783B8D"/>
    <w:rsid w:val="007901B7"/>
    <w:rsid w:val="00794B94"/>
    <w:rsid w:val="00794BD4"/>
    <w:rsid w:val="007A2F73"/>
    <w:rsid w:val="007A3061"/>
    <w:rsid w:val="007A5A0B"/>
    <w:rsid w:val="007C0E14"/>
    <w:rsid w:val="007C7DE4"/>
    <w:rsid w:val="007D40CB"/>
    <w:rsid w:val="007D5796"/>
    <w:rsid w:val="007D59C0"/>
    <w:rsid w:val="007D7D9C"/>
    <w:rsid w:val="007F485D"/>
    <w:rsid w:val="007F6050"/>
    <w:rsid w:val="00807330"/>
    <w:rsid w:val="00813627"/>
    <w:rsid w:val="00832816"/>
    <w:rsid w:val="00835C6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116"/>
    <w:rsid w:val="008A31C5"/>
    <w:rsid w:val="008A4F9A"/>
    <w:rsid w:val="008B2850"/>
    <w:rsid w:val="008C79B3"/>
    <w:rsid w:val="008D77BD"/>
    <w:rsid w:val="008E454C"/>
    <w:rsid w:val="008F1E5A"/>
    <w:rsid w:val="00901BDA"/>
    <w:rsid w:val="00906161"/>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A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DC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965"/>
    <w:rsid w:val="00AA6197"/>
    <w:rsid w:val="00AA6C70"/>
    <w:rsid w:val="00AB16FD"/>
    <w:rsid w:val="00AB31FC"/>
    <w:rsid w:val="00AB4813"/>
    <w:rsid w:val="00AC4BBE"/>
    <w:rsid w:val="00AC6466"/>
    <w:rsid w:val="00AC7639"/>
    <w:rsid w:val="00AD08BB"/>
    <w:rsid w:val="00AD0EC0"/>
    <w:rsid w:val="00AD70D6"/>
    <w:rsid w:val="00AD75BC"/>
    <w:rsid w:val="00AD7BB0"/>
    <w:rsid w:val="00AD7BC9"/>
    <w:rsid w:val="00AE1871"/>
    <w:rsid w:val="00AE6343"/>
    <w:rsid w:val="00AF0DB9"/>
    <w:rsid w:val="00AF1A8C"/>
    <w:rsid w:val="00B0116D"/>
    <w:rsid w:val="00B01173"/>
    <w:rsid w:val="00B02F35"/>
    <w:rsid w:val="00B05A3C"/>
    <w:rsid w:val="00B07100"/>
    <w:rsid w:val="00B1138C"/>
    <w:rsid w:val="00B2574A"/>
    <w:rsid w:val="00B35D8A"/>
    <w:rsid w:val="00B37FAB"/>
    <w:rsid w:val="00B45B34"/>
    <w:rsid w:val="00B57047"/>
    <w:rsid w:val="00B61D86"/>
    <w:rsid w:val="00B6342D"/>
    <w:rsid w:val="00B6797C"/>
    <w:rsid w:val="00B726BD"/>
    <w:rsid w:val="00B732BC"/>
    <w:rsid w:val="00B77626"/>
    <w:rsid w:val="00B90E33"/>
    <w:rsid w:val="00B93940"/>
    <w:rsid w:val="00B9676B"/>
    <w:rsid w:val="00BA2EA5"/>
    <w:rsid w:val="00BA364B"/>
    <w:rsid w:val="00BB1190"/>
    <w:rsid w:val="00BB31D0"/>
    <w:rsid w:val="00BB3A11"/>
    <w:rsid w:val="00BB4DDB"/>
    <w:rsid w:val="00BB5D79"/>
    <w:rsid w:val="00BB5F02"/>
    <w:rsid w:val="00BC7892"/>
    <w:rsid w:val="00BE24D6"/>
    <w:rsid w:val="00BE6333"/>
    <w:rsid w:val="00BE7EFA"/>
    <w:rsid w:val="00BF06AD"/>
    <w:rsid w:val="00BF2C67"/>
    <w:rsid w:val="00C0464A"/>
    <w:rsid w:val="00C04F4D"/>
    <w:rsid w:val="00C12E48"/>
    <w:rsid w:val="00C13D14"/>
    <w:rsid w:val="00C15F53"/>
    <w:rsid w:val="00C23F09"/>
    <w:rsid w:val="00C25356"/>
    <w:rsid w:val="00C328D0"/>
    <w:rsid w:val="00C46BC1"/>
    <w:rsid w:val="00C5235F"/>
    <w:rsid w:val="00C54CE2"/>
    <w:rsid w:val="00C66BF3"/>
    <w:rsid w:val="00C70140"/>
    <w:rsid w:val="00C73A95"/>
    <w:rsid w:val="00C73CA7"/>
    <w:rsid w:val="00C822F6"/>
    <w:rsid w:val="00C82AC2"/>
    <w:rsid w:val="00C8456C"/>
    <w:rsid w:val="00C84645"/>
    <w:rsid w:val="00C91E19"/>
    <w:rsid w:val="00C92250"/>
    <w:rsid w:val="00C92402"/>
    <w:rsid w:val="00C92867"/>
    <w:rsid w:val="00C9349F"/>
    <w:rsid w:val="00C93B93"/>
    <w:rsid w:val="00CA037D"/>
    <w:rsid w:val="00CA0837"/>
    <w:rsid w:val="00CA2442"/>
    <w:rsid w:val="00CA4725"/>
    <w:rsid w:val="00CB619E"/>
    <w:rsid w:val="00CB6246"/>
    <w:rsid w:val="00CC0A17"/>
    <w:rsid w:val="00CD0F93"/>
    <w:rsid w:val="00CD115C"/>
    <w:rsid w:val="00CD1BD1"/>
    <w:rsid w:val="00CD528D"/>
    <w:rsid w:val="00CE78BF"/>
    <w:rsid w:val="00CF65EB"/>
    <w:rsid w:val="00CF72AD"/>
    <w:rsid w:val="00D02441"/>
    <w:rsid w:val="00D039F4"/>
    <w:rsid w:val="00D07AC8"/>
    <w:rsid w:val="00D10496"/>
    <w:rsid w:val="00D1064A"/>
    <w:rsid w:val="00D11173"/>
    <w:rsid w:val="00D1215F"/>
    <w:rsid w:val="00D16561"/>
    <w:rsid w:val="00D17FF8"/>
    <w:rsid w:val="00D268AC"/>
    <w:rsid w:val="00D27FF3"/>
    <w:rsid w:val="00D343D0"/>
    <w:rsid w:val="00D36293"/>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1D2"/>
    <w:rsid w:val="00E01B71"/>
    <w:rsid w:val="00E05CC9"/>
    <w:rsid w:val="00E15573"/>
    <w:rsid w:val="00E22062"/>
    <w:rsid w:val="00E25A5B"/>
    <w:rsid w:val="00E373C7"/>
    <w:rsid w:val="00E4267B"/>
    <w:rsid w:val="00E42F13"/>
    <w:rsid w:val="00E43102"/>
    <w:rsid w:val="00E452DF"/>
    <w:rsid w:val="00E5306B"/>
    <w:rsid w:val="00E543CF"/>
    <w:rsid w:val="00E546FD"/>
    <w:rsid w:val="00E608F1"/>
    <w:rsid w:val="00E611B9"/>
    <w:rsid w:val="00E7108F"/>
    <w:rsid w:val="00E7144F"/>
    <w:rsid w:val="00E739D8"/>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2B90"/>
    <w:rsid w:val="00F2542E"/>
    <w:rsid w:val="00F27278"/>
    <w:rsid w:val="00F344E3"/>
    <w:rsid w:val="00F34D58"/>
    <w:rsid w:val="00F40FC9"/>
    <w:rsid w:val="00F41A9D"/>
    <w:rsid w:val="00F44314"/>
    <w:rsid w:val="00F54B9C"/>
    <w:rsid w:val="00F56BE1"/>
    <w:rsid w:val="00F56E96"/>
    <w:rsid w:val="00F573DD"/>
    <w:rsid w:val="00F61474"/>
    <w:rsid w:val="00F61E59"/>
    <w:rsid w:val="00F6364B"/>
    <w:rsid w:val="00F63D99"/>
    <w:rsid w:val="00F6426B"/>
    <w:rsid w:val="00F709B3"/>
    <w:rsid w:val="00F7188C"/>
    <w:rsid w:val="00F71A5E"/>
    <w:rsid w:val="00F80AAC"/>
    <w:rsid w:val="00FA0AFC"/>
    <w:rsid w:val="00FA1C82"/>
    <w:rsid w:val="00FA2ED1"/>
    <w:rsid w:val="00FA4A52"/>
    <w:rsid w:val="00FA5C02"/>
    <w:rsid w:val="00FB4045"/>
    <w:rsid w:val="00FB4D8E"/>
    <w:rsid w:val="00FB5CA8"/>
    <w:rsid w:val="00FC0D0A"/>
    <w:rsid w:val="00FC1B0B"/>
    <w:rsid w:val="00FC2E10"/>
    <w:rsid w:val="00FD2F97"/>
    <w:rsid w:val="00FE683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C589C7"/>
  <w15:docId w15:val="{046540DF-54D5-422D-A97B-D9D79EDCE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074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749E"/>
    <w:rPr>
      <w:rFonts w:ascii="Segoe UI" w:hAnsi="Segoe UI" w:cs="Segoe UI"/>
      <w:spacing w:val="4"/>
      <w:sz w:val="18"/>
      <w:szCs w:val="18"/>
    </w:rPr>
  </w:style>
  <w:style w:type="character" w:styleId="LineNumber">
    <w:name w:val="line number"/>
    <w:basedOn w:val="DefaultParagraphFont"/>
    <w:semiHidden/>
    <w:unhideWhenUsed/>
    <w:rsid w:val="00F22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604</Words>
  <Characters>3601</Characters>
  <Application>Microsoft Office Word</Application>
  <DocSecurity>0</DocSecurity>
  <Lines>105</Lines>
  <Paragraphs>35</Paragraphs>
  <ScaleCrop>false</ScaleCrop>
  <HeadingPairs>
    <vt:vector size="2" baseType="variant">
      <vt:variant>
        <vt:lpstr>Title</vt:lpstr>
      </vt:variant>
      <vt:variant>
        <vt:i4>1</vt:i4>
      </vt:variant>
    </vt:vector>
  </HeadingPairs>
  <TitlesOfParts>
    <vt:vector size="1" baseType="lpstr">
      <vt:lpstr>S3323</vt:lpstr>
    </vt:vector>
  </TitlesOfParts>
  <Manager>R230</Manager>
  <Company>NJ Office of Legislative Services</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S3323 1R</dc:title>
  <dc:subject>20-11799</dc:subject>
  <dc:creator>Senator  SWEENEY</dc:creator>
  <cp:keywords>S3323|3|HS |259|219|122|!|0|</cp:keywords>
  <dc:description>INTRODUCED JANUARY 11, 2020_x000d_
AMENDED FEBRUARY 9, 2021</dc:description>
  <cp:lastModifiedBy>Todaro, Vivian</cp:lastModifiedBy>
  <cp:revision>2</cp:revision>
  <cp:lastPrinted>2021-03-10T16:05:00Z</cp:lastPrinted>
  <dcterms:created xsi:type="dcterms:W3CDTF">2021-03-10T16:05:00Z</dcterms:created>
  <dcterms:modified xsi:type="dcterms:W3CDTF">2021-03-10T16:05:00Z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