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228C07" w14:textId="0E62E5E7" w:rsidR="00042B6E" w:rsidRDefault="00042B6E" w:rsidP="00042B6E">
      <w:pPr>
        <w:pStyle w:val="bpuReprint"/>
      </w:pPr>
      <w:bookmarkStart w:id="0" w:name="bpuFrontPg"/>
      <w:bookmarkStart w:id="1" w:name="_GoBack"/>
      <w:bookmarkEnd w:id="0"/>
      <w:bookmarkEnd w:id="1"/>
      <w:r>
        <w:t>[First Reprint]</w:t>
      </w:r>
    </w:p>
    <w:p w14:paraId="6ABC3E1D" w14:textId="4F4AA82C" w:rsidR="007A2CE3" w:rsidRDefault="007A2CE3" w:rsidP="007A2CE3">
      <w:pPr>
        <w:pStyle w:val="bpuBill"/>
      </w:pPr>
      <w:r>
        <w:t xml:space="preserve">SENATE, No. 3404 </w:t>
      </w:r>
    </w:p>
    <w:p w14:paraId="13F0F3C6" w14:textId="2035C728" w:rsidR="007A2CE3" w:rsidRPr="009D38FF" w:rsidRDefault="007A2CE3" w:rsidP="007A2CE3">
      <w:pPr>
        <w:pStyle w:val="bpuWpGraphic"/>
      </w:pPr>
      <w:r>
        <w:object w:dxaOrig="8985" w:dyaOrig="255" w14:anchorId="1DC4C1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71704" r:id="rId7"/>
        </w:object>
      </w:r>
    </w:p>
    <w:p w14:paraId="4E487FB2" w14:textId="77777777" w:rsidR="007A2CE3" w:rsidRDefault="007A2CE3" w:rsidP="007A2CE3">
      <w:pPr>
        <w:pStyle w:val="bpuState"/>
      </w:pPr>
      <w:r>
        <w:t>STATE OF NEW JERSEY</w:t>
      </w:r>
    </w:p>
    <w:p w14:paraId="3BC947A8" w14:textId="77777777" w:rsidR="007A2CE3" w:rsidRDefault="007A2CE3" w:rsidP="007A2CE3">
      <w:pPr>
        <w:pStyle w:val="bpuLegislature"/>
      </w:pPr>
      <w:r>
        <w:t>219th LEGISLATURE</w:t>
      </w:r>
    </w:p>
    <w:p w14:paraId="0B7ADCF5" w14:textId="1D034FF7" w:rsidR="007A2CE3" w:rsidRDefault="007A2CE3" w:rsidP="007A2CE3">
      <w:pPr>
        <w:pStyle w:val="bpuWpGraphic"/>
      </w:pPr>
      <w:r>
        <w:object w:dxaOrig="8985" w:dyaOrig="255" w14:anchorId="33CEBBB1">
          <v:shape id="_x0000_i1026" type="#_x0000_t75" style="width:6in;height:12pt" o:ole="">
            <v:imagedata r:id="rId6" o:title=""/>
          </v:shape>
          <o:OLEObject Type="Embed" ProgID="WPWin6.1" ShapeID="_x0000_i1026" DrawAspect="Content" ObjectID="_1701671705" r:id="rId8"/>
        </w:object>
      </w:r>
      <w:r>
        <w:t xml:space="preserve">  </w:t>
      </w:r>
    </w:p>
    <w:p w14:paraId="3267894E" w14:textId="77777777" w:rsidR="007A2CE3" w:rsidRDefault="007A2CE3" w:rsidP="007A2CE3">
      <w:pPr>
        <w:pStyle w:val="bpuIntro"/>
      </w:pPr>
      <w:r>
        <w:t xml:space="preserve">INTRODUCED FEBRUARY 4, 2021 </w:t>
      </w:r>
    </w:p>
    <w:p w14:paraId="504E3583" w14:textId="77777777" w:rsidR="007A2CE3" w:rsidRDefault="007A2CE3" w:rsidP="007A2CE3">
      <w:pPr>
        <w:pStyle w:val="bpuIntro"/>
      </w:pPr>
    </w:p>
    <w:p w14:paraId="1FB7227C" w14:textId="77777777" w:rsidR="007A2CE3" w:rsidRDefault="007A2CE3" w:rsidP="007A2CE3">
      <w:pPr>
        <w:pStyle w:val="bpuIntro"/>
        <w:sectPr w:rsidR="007A2CE3" w:rsidSect="00C149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76FEE0C" w14:textId="77777777" w:rsidR="007A2CE3" w:rsidRDefault="007A2CE3" w:rsidP="007A2CE3">
      <w:pPr>
        <w:pStyle w:val="bpuIntro"/>
      </w:pPr>
    </w:p>
    <w:p w14:paraId="46B62AA3" w14:textId="77777777" w:rsidR="007A2CE3" w:rsidRDefault="007A2CE3" w:rsidP="007A2CE3">
      <w:pPr>
        <w:pStyle w:val="bpuSponsor"/>
      </w:pPr>
      <w:r>
        <w:t>Sponsored by:</w:t>
      </w:r>
    </w:p>
    <w:p w14:paraId="4B909F7C" w14:textId="77777777" w:rsidR="007A2CE3" w:rsidRDefault="007A2CE3" w:rsidP="007A2CE3">
      <w:pPr>
        <w:pStyle w:val="bpuSponsor"/>
      </w:pPr>
      <w:r>
        <w:t>Senator  VIN GOPAL</w:t>
      </w:r>
    </w:p>
    <w:p w14:paraId="77C3652F" w14:textId="77777777" w:rsidR="007A2CE3" w:rsidRDefault="007A2CE3" w:rsidP="007A2CE3">
      <w:pPr>
        <w:pStyle w:val="bpuSponsor"/>
      </w:pPr>
      <w:r>
        <w:t>District 11 (Monmouth)</w:t>
      </w:r>
    </w:p>
    <w:p w14:paraId="0E9E1152" w14:textId="1B3697C5" w:rsidR="007A2CE3" w:rsidRDefault="003851A7" w:rsidP="003851A7">
      <w:pPr>
        <w:pStyle w:val="bpuSponsor"/>
      </w:pPr>
      <w:r>
        <w:t>Senator  JOSEPH A. LAGANA</w:t>
      </w:r>
    </w:p>
    <w:p w14:paraId="18692594" w14:textId="0BB332EE" w:rsidR="003851A7" w:rsidRDefault="003851A7" w:rsidP="003851A7">
      <w:pPr>
        <w:pStyle w:val="bpuSponsor"/>
      </w:pPr>
      <w:r>
        <w:t>District 38 (Bergen and Passaic)</w:t>
      </w:r>
    </w:p>
    <w:p w14:paraId="74B58742" w14:textId="77777777" w:rsidR="003851A7" w:rsidRPr="003851A7" w:rsidRDefault="003851A7" w:rsidP="003851A7">
      <w:pPr>
        <w:pStyle w:val="bpuSponsor"/>
      </w:pPr>
    </w:p>
    <w:p w14:paraId="4F0B7209" w14:textId="51BB1A7F" w:rsidR="000520CD" w:rsidRDefault="00C14926" w:rsidP="00C14926">
      <w:pPr>
        <w:pStyle w:val="bpuSponsor"/>
      </w:pPr>
      <w:r>
        <w:t>Co-Sponsored by:</w:t>
      </w:r>
    </w:p>
    <w:p w14:paraId="11F45913" w14:textId="24E42EBB" w:rsidR="00C14926" w:rsidRDefault="00C14926" w:rsidP="00C14926">
      <w:pPr>
        <w:pStyle w:val="bpuSponsor"/>
      </w:pPr>
      <w:r w:rsidRPr="00C14926">
        <w:t>Senators Diegnan, Thompson and Greenstein</w:t>
      </w:r>
    </w:p>
    <w:p w14:paraId="60E17D45" w14:textId="77777777" w:rsidR="00C14926" w:rsidRPr="00C14926" w:rsidRDefault="00C14926" w:rsidP="00C14926"/>
    <w:p w14:paraId="3779BE1F" w14:textId="77777777" w:rsidR="00D4712C" w:rsidRPr="000520CD" w:rsidRDefault="00D4712C" w:rsidP="000520CD"/>
    <w:p w14:paraId="4B7E5B85" w14:textId="77777777" w:rsidR="007A2CE3" w:rsidRDefault="007A2CE3" w:rsidP="007A2CE3">
      <w:pPr>
        <w:pStyle w:val="bpuSponsor"/>
      </w:pPr>
    </w:p>
    <w:p w14:paraId="4646DFC4" w14:textId="77777777" w:rsidR="007A2CE3" w:rsidRDefault="007A2CE3" w:rsidP="007A2CE3">
      <w:pPr>
        <w:pStyle w:val="bpuSponsor"/>
      </w:pPr>
    </w:p>
    <w:p w14:paraId="3A884AAF" w14:textId="77777777" w:rsidR="007A2CE3" w:rsidRDefault="007A2CE3" w:rsidP="007A2CE3">
      <w:pPr>
        <w:pStyle w:val="bpuSponsor"/>
      </w:pPr>
      <w:r>
        <w:t>SYNOPSIS</w:t>
      </w:r>
    </w:p>
    <w:p w14:paraId="48E7C4EA" w14:textId="3540C263" w:rsidR="007A2CE3" w:rsidRDefault="00042B6E" w:rsidP="007A2CE3">
      <w:pPr>
        <w:pStyle w:val="bpuNormText"/>
      </w:pPr>
      <w:r>
        <w:tab/>
      </w:r>
      <w:r w:rsidRPr="000D23C0">
        <w:t>Allows certain taxpayers to accelerate depreciation of certain expenditures under corporation business and gross income taxes.</w:t>
      </w:r>
    </w:p>
    <w:p w14:paraId="2D60239E" w14:textId="77777777" w:rsidR="007A2CE3" w:rsidRDefault="007A2CE3" w:rsidP="007A2CE3">
      <w:pPr>
        <w:pStyle w:val="bpuNormText"/>
      </w:pPr>
    </w:p>
    <w:p w14:paraId="25C8F175" w14:textId="77777777" w:rsidR="007A2CE3" w:rsidRDefault="007A2CE3" w:rsidP="007A2CE3">
      <w:pPr>
        <w:pStyle w:val="bpuSponsor"/>
      </w:pPr>
      <w:r>
        <w:t xml:space="preserve">CURRENT VERSION OF TEXT </w:t>
      </w:r>
    </w:p>
    <w:p w14:paraId="3F01C858" w14:textId="1D6F29F3" w:rsidR="007A2CE3" w:rsidRDefault="00042B6E" w:rsidP="007A2CE3">
      <w:pPr>
        <w:pStyle w:val="bpuNormText"/>
      </w:pPr>
      <w:r>
        <w:tab/>
        <w:t>As reported by the Senate Budget and Appropriations Committee on December 6, 2021, with amendments.</w:t>
      </w:r>
    </w:p>
    <w:p w14:paraId="3175E439" w14:textId="426FA42C" w:rsidR="007A2CE3" w:rsidRDefault="007A2CE3" w:rsidP="007A2CE3">
      <w:pPr>
        <w:pStyle w:val="bpuNormText"/>
      </w:pPr>
      <w:r>
        <w:rPr>
          <w:noProof/>
        </w:rPr>
        <w:drawing>
          <wp:anchor distT="0" distB="0" distL="114300" distR="114300" simplePos="0" relativeHeight="251659264" behindDoc="1" locked="0" layoutInCell="1" allowOverlap="1" wp14:anchorId="4FF9FB68" wp14:editId="4EA167B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BBDD0F1" w14:textId="77777777" w:rsidR="007A2CE3" w:rsidRDefault="007A2CE3" w:rsidP="008916EC">
      <w:pPr>
        <w:pStyle w:val="FronterPage"/>
        <w:tabs>
          <w:tab w:val="clear" w:pos="720"/>
          <w:tab w:val="clear" w:pos="1440"/>
          <w:tab w:val="clear" w:pos="2160"/>
          <w:tab w:val="clear" w:pos="2880"/>
          <w:tab w:val="clear" w:pos="3600"/>
          <w:tab w:val="clear" w:pos="4320"/>
          <w:tab w:val="clear" w:pos="5040"/>
        </w:tabs>
        <w:sectPr w:rsidR="007A2CE3" w:rsidSect="007A2CE3">
          <w:type w:val="continuous"/>
          <w:pgSz w:w="12240" w:h="20160" w:code="5"/>
          <w:pgMar w:top="1440" w:right="2275" w:bottom="1440" w:left="2275" w:header="72" w:footer="720" w:gutter="0"/>
          <w:pgNumType w:start="1"/>
          <w:cols w:space="720"/>
          <w:docGrid w:linePitch="360"/>
        </w:sectPr>
      </w:pPr>
    </w:p>
    <w:p w14:paraId="600EC8D6" w14:textId="314821DB" w:rsidR="00686AEB" w:rsidRPr="00677316" w:rsidRDefault="00042B6E" w:rsidP="003E47BA">
      <w:pPr>
        <w:pStyle w:val="HangingAnAct"/>
        <w:rPr>
          <w:rStyle w:val="HangingAnActChar"/>
        </w:rPr>
      </w:pPr>
      <w:r w:rsidRPr="00B90838">
        <w:rPr>
          <w:rStyle w:val="BillHead"/>
        </w:rPr>
        <w:lastRenderedPageBreak/>
        <w:t>An Act</w:t>
      </w:r>
      <w:r w:rsidRPr="00B90838">
        <w:rPr>
          <w:rStyle w:val="HangingAnActChar"/>
        </w:rPr>
        <w:t xml:space="preserve"> allowing</w:t>
      </w:r>
      <w:r>
        <w:rPr>
          <w:rStyle w:val="HangingAnActChar"/>
        </w:rPr>
        <w:t xml:space="preserve"> certain </w:t>
      </w:r>
      <w:r>
        <w:rPr>
          <w:rStyle w:val="HangingAnActChar"/>
          <w:rFonts w:ascii="Albertus Extra Bold" w:hAnsi="Albertus Extra Bold"/>
          <w:b/>
          <w:vertAlign w:val="superscript"/>
        </w:rPr>
        <w:t>1</w:t>
      </w:r>
      <w:r w:rsidRPr="00B90838">
        <w:rPr>
          <w:rStyle w:val="HangingAnActChar"/>
          <w:rFonts w:ascii="Albertus Extra Bold" w:hAnsi="Albertus Extra Bold"/>
          <w:b/>
        </w:rPr>
        <w:t>[</w:t>
      </w:r>
      <w:r>
        <w:rPr>
          <w:rStyle w:val="HangingAnActChar"/>
        </w:rPr>
        <w:t>restaurant owners</w:t>
      </w:r>
      <w:r w:rsidRPr="00B90838">
        <w:rPr>
          <w:rStyle w:val="HangingAnActChar"/>
          <w:rFonts w:ascii="Albertus Extra Bold" w:hAnsi="Albertus Extra Bold"/>
          <w:b/>
        </w:rPr>
        <w:t>]</w:t>
      </w:r>
      <w:r>
        <w:rPr>
          <w:rStyle w:val="HangingAnActChar"/>
        </w:rPr>
        <w:t xml:space="preserve"> </w:t>
      </w:r>
      <w:r w:rsidRPr="00B90838">
        <w:rPr>
          <w:rStyle w:val="HangingAnActChar"/>
          <w:u w:val="single"/>
        </w:rPr>
        <w:t>taxpayers</w:t>
      </w:r>
      <w:r>
        <w:rPr>
          <w:rStyle w:val="HangingAnActChar"/>
          <w:rFonts w:ascii="Albertus Extra Bold" w:hAnsi="Albertus Extra Bold"/>
          <w:b/>
          <w:vertAlign w:val="superscript"/>
        </w:rPr>
        <w:t>1</w:t>
      </w:r>
      <w:r>
        <w:rPr>
          <w:rStyle w:val="HangingAnActChar"/>
        </w:rPr>
        <w:t xml:space="preserve"> to accelerate depreciation of certain expenditures under corporation business and gross income taxes, supplementing P.L.1945, c.162 and Title 54A of Revised Statutes.</w:t>
      </w:r>
      <w:r w:rsidR="0060709E">
        <w:rPr>
          <w:rStyle w:val="HangingAnActChar"/>
        </w:rPr>
        <w:t xml:space="preserve"> </w:t>
      </w:r>
    </w:p>
    <w:p w14:paraId="323B959B" w14:textId="77777777" w:rsidR="000B1054" w:rsidRPr="00D71D68" w:rsidRDefault="000B1054" w:rsidP="000B1054"/>
    <w:p w14:paraId="32E7294F" w14:textId="77777777" w:rsidR="00686AEB" w:rsidRPr="00AA7880" w:rsidRDefault="00686AEB" w:rsidP="00686AEB">
      <w:r>
        <w:tab/>
      </w:r>
      <w:r w:rsidR="007541A1">
        <w:rPr>
          <w:rStyle w:val="BillHeading2"/>
        </w:rPr>
        <w:t>Be It Enacted</w:t>
      </w:r>
      <w:r>
        <w:rPr>
          <w:rStyle w:val="BillHeading2"/>
        </w:rPr>
        <w:t xml:space="preserve"> </w:t>
      </w:r>
      <w:r w:rsidR="007541A1">
        <w:rPr>
          <w:rStyle w:val="BillLanguage"/>
        </w:rPr>
        <w:t>by the Senate and General Assembly of the State of New Jersey:</w:t>
      </w:r>
    </w:p>
    <w:p w14:paraId="692898E8" w14:textId="77777777" w:rsidR="00686AEB" w:rsidRPr="00D71D68" w:rsidRDefault="00686AEB" w:rsidP="00686AEB"/>
    <w:p w14:paraId="5E21B5E6" w14:textId="77777777" w:rsidR="00042B6E" w:rsidRPr="00B90838" w:rsidRDefault="00042B6E" w:rsidP="00042B6E">
      <w:r>
        <w:tab/>
      </w:r>
      <w:r w:rsidRPr="00B90838">
        <w:t>1.</w:t>
      </w:r>
      <w:r w:rsidRPr="00B90838">
        <w:tab/>
        <w:t xml:space="preserve">a.  Notwithstanding paragraph (12) of subsection (k) of section 4 of P.L.1945, c.162 (C.54:10A-4), a taxpayer who is </w:t>
      </w:r>
      <w:r w:rsidRPr="003964C6">
        <w:rPr>
          <w:rFonts w:ascii="Albertus Extra Bold" w:hAnsi="Albertus Extra Bold"/>
          <w:b/>
          <w:vertAlign w:val="superscript"/>
        </w:rPr>
        <w:t>1</w:t>
      </w:r>
      <w:r w:rsidRPr="003964C6">
        <w:rPr>
          <w:u w:val="single"/>
        </w:rPr>
        <w:t>the owner of</w:t>
      </w:r>
      <w:r>
        <w:rPr>
          <w:rFonts w:ascii="Albertus Extra Bold" w:hAnsi="Albertus Extra Bold"/>
          <w:b/>
          <w:vertAlign w:val="superscript"/>
        </w:rPr>
        <w:t>1</w:t>
      </w:r>
      <w:r>
        <w:t xml:space="preserve"> </w:t>
      </w:r>
      <w:r w:rsidRPr="00B90838">
        <w:t xml:space="preserve">a small business restaurant </w:t>
      </w:r>
      <w:r>
        <w:rPr>
          <w:rFonts w:ascii="Albertus Extra Bold" w:hAnsi="Albertus Extra Bold"/>
          <w:b/>
          <w:vertAlign w:val="superscript"/>
        </w:rPr>
        <w:t>1</w:t>
      </w:r>
      <w:r w:rsidRPr="003964C6">
        <w:rPr>
          <w:rFonts w:ascii="Albertus Extra Bold" w:hAnsi="Albertus Extra Bold"/>
          <w:b/>
        </w:rPr>
        <w:t>[</w:t>
      </w:r>
      <w:r w:rsidRPr="00B90838">
        <w:t>owner</w:t>
      </w:r>
      <w:r w:rsidRPr="003964C6">
        <w:rPr>
          <w:rFonts w:ascii="Albertus Extra Bold" w:hAnsi="Albertus Extra Bold"/>
          <w:b/>
        </w:rPr>
        <w:t>]</w:t>
      </w:r>
      <w:r w:rsidRPr="00B90838">
        <w:t xml:space="preserve"> </w:t>
      </w:r>
      <w:r w:rsidRPr="003964C6">
        <w:rPr>
          <w:u w:val="single"/>
        </w:rPr>
        <w:t>, wedding venue, banquet hall, or an alcoholic beverage manufacturer</w:t>
      </w:r>
      <w:r>
        <w:rPr>
          <w:rFonts w:ascii="Albertus Extra Bold" w:hAnsi="Albertus Extra Bold"/>
          <w:b/>
          <w:vertAlign w:val="superscript"/>
        </w:rPr>
        <w:t>1</w:t>
      </w:r>
      <w:r>
        <w:t xml:space="preserve"> </w:t>
      </w:r>
      <w:r w:rsidRPr="00B90838">
        <w:t>shall be allowed the additional depreciation allowance of subsection (k) of section 168 of the federal Internal Revenue Code of 1986 (26 U.S.C. s.168) for up to $150,000 of eligible property expenditures for the restaurant</w:t>
      </w:r>
      <w:r>
        <w:rPr>
          <w:rFonts w:ascii="Albertus Extra Bold" w:hAnsi="Albertus Extra Bold"/>
          <w:b/>
          <w:vertAlign w:val="superscript"/>
        </w:rPr>
        <w:t>1</w:t>
      </w:r>
      <w:r w:rsidRPr="003964C6">
        <w:rPr>
          <w:u w:val="single"/>
        </w:rPr>
        <w:t>, wedding venue</w:t>
      </w:r>
      <w:r>
        <w:rPr>
          <w:u w:val="single"/>
        </w:rPr>
        <w:t>, banquet hall, or alcoholic beverage manufacturer</w:t>
      </w:r>
      <w:r>
        <w:rPr>
          <w:rFonts w:ascii="Albertus Extra Bold" w:hAnsi="Albertus Extra Bold"/>
          <w:b/>
          <w:vertAlign w:val="superscript"/>
        </w:rPr>
        <w:t>1</w:t>
      </w:r>
      <w:r w:rsidRPr="00B90838">
        <w:t xml:space="preserve">.  The director shall prescribe the rules and regulations necessary to carry out the provisions of this section. </w:t>
      </w:r>
    </w:p>
    <w:p w14:paraId="4E4C11FB" w14:textId="77777777" w:rsidR="00042B6E" w:rsidRPr="00B90838" w:rsidRDefault="00042B6E" w:rsidP="00042B6E">
      <w:r w:rsidRPr="00B90838">
        <w:tab/>
        <w:t>b.</w:t>
      </w:r>
      <w:r w:rsidRPr="00B90838">
        <w:tab/>
        <w:t>As used in this section:</w:t>
      </w:r>
    </w:p>
    <w:p w14:paraId="575AAF09" w14:textId="77777777" w:rsidR="00042B6E" w:rsidRDefault="00042B6E" w:rsidP="00042B6E">
      <w:r>
        <w:tab/>
      </w:r>
      <w:r>
        <w:rPr>
          <w:rFonts w:ascii="Albertus Extra Bold" w:hAnsi="Albertus Extra Bold"/>
          <w:b/>
          <w:vertAlign w:val="superscript"/>
        </w:rPr>
        <w:t>1</w:t>
      </w:r>
      <w:r w:rsidRPr="003964C6">
        <w:rPr>
          <w:u w:val="single"/>
        </w:rPr>
        <w:t>“Alcoholic beverage manufacturer” means a limited brewery, winery, distillery, cidery, or meadery licensed pursuant to R.S.33:1-10.</w:t>
      </w:r>
      <w:r>
        <w:rPr>
          <w:rFonts w:ascii="Albertus Extra Bold" w:hAnsi="Albertus Extra Bold"/>
          <w:b/>
          <w:vertAlign w:val="superscript"/>
        </w:rPr>
        <w:t>1</w:t>
      </w:r>
    </w:p>
    <w:p w14:paraId="4CF9D8D7" w14:textId="77777777" w:rsidR="00042B6E" w:rsidRPr="00B90838" w:rsidRDefault="00042B6E" w:rsidP="00042B6E">
      <w:r w:rsidRPr="00B90838">
        <w:tab/>
        <w:t>“Director” means Director of the Division of Taxation in the Department of the Treasury.</w:t>
      </w:r>
    </w:p>
    <w:p w14:paraId="28009184" w14:textId="77777777" w:rsidR="00042B6E" w:rsidRPr="00B90838" w:rsidRDefault="00042B6E" w:rsidP="00042B6E">
      <w:r w:rsidRPr="00B90838">
        <w:tab/>
        <w:t>“Eligible property expenditures” means capital expenditures incurred by the taxpayer to comply with the health and safety requirements imposed under the executive orders issued by the Governor in response to the COVID-19 pandemic, including but not limited to the purchase of heaters and overhangs</w:t>
      </w:r>
      <w:r>
        <w:t xml:space="preserve"> </w:t>
      </w:r>
      <w:r>
        <w:rPr>
          <w:rFonts w:ascii="Albertus Extra Bold" w:hAnsi="Albertus Extra Bold"/>
          <w:b/>
          <w:vertAlign w:val="superscript"/>
        </w:rPr>
        <w:t>1</w:t>
      </w:r>
      <w:r>
        <w:rPr>
          <w:u w:val="single"/>
        </w:rPr>
        <w:t>and upgrades to heating, ventilation, and air conditioning systems</w:t>
      </w:r>
      <w:r w:rsidRPr="00F70901">
        <w:rPr>
          <w:rFonts w:ascii="Albertus Extra Bold" w:hAnsi="Albertus Extra Bold"/>
          <w:b/>
          <w:vertAlign w:val="superscript"/>
        </w:rPr>
        <w:t>1</w:t>
      </w:r>
      <w:r w:rsidRPr="00B90838">
        <w:t xml:space="preserve">.  </w:t>
      </w:r>
    </w:p>
    <w:p w14:paraId="38DB2D86" w14:textId="77777777" w:rsidR="00042B6E" w:rsidRDefault="00042B6E" w:rsidP="00042B6E">
      <w:r w:rsidRPr="00B90838">
        <w:tab/>
        <w:t xml:space="preserve">“Small business restaurant” means a restaurant as defined in section 1 of P.L.1983, c.488 (C.26:3E-1) with not more than 100 employees, but shall not include a restaurant </w:t>
      </w:r>
      <w:r>
        <w:rPr>
          <w:rFonts w:ascii="Albertus Extra Bold" w:hAnsi="Albertus Extra Bold"/>
          <w:b/>
          <w:vertAlign w:val="superscript"/>
        </w:rPr>
        <w:t>1</w:t>
      </w:r>
      <w:r w:rsidRPr="00872682">
        <w:rPr>
          <w:rFonts w:ascii="Albertus Extra Bold" w:hAnsi="Albertus Extra Bold"/>
          <w:b/>
        </w:rPr>
        <w:t>[</w:t>
      </w:r>
      <w:r w:rsidRPr="00B90838">
        <w:t>with</w:t>
      </w:r>
      <w:r w:rsidRPr="00872682">
        <w:rPr>
          <w:rFonts w:ascii="Albertus Extra Bold" w:hAnsi="Albertus Extra Bold"/>
          <w:b/>
        </w:rPr>
        <w:t>]</w:t>
      </w:r>
      <w:r w:rsidRPr="00B90838">
        <w:t xml:space="preserve"> </w:t>
      </w:r>
      <w:r w:rsidRPr="00872682">
        <w:rPr>
          <w:u w:val="single"/>
        </w:rPr>
        <w:t>if its owner also owns</w:t>
      </w:r>
      <w:r>
        <w:rPr>
          <w:rFonts w:ascii="Albertus Extra Bold" w:hAnsi="Albertus Extra Bold"/>
          <w:b/>
          <w:vertAlign w:val="superscript"/>
        </w:rPr>
        <w:t>1</w:t>
      </w:r>
      <w:r>
        <w:t xml:space="preserve"> </w:t>
      </w:r>
      <w:r w:rsidRPr="00B90838">
        <w:t xml:space="preserve">more than two </w:t>
      </w:r>
      <w:r>
        <w:rPr>
          <w:rFonts w:ascii="Albertus Extra Bold" w:hAnsi="Albertus Extra Bold"/>
          <w:b/>
          <w:vertAlign w:val="superscript"/>
        </w:rPr>
        <w:t>1</w:t>
      </w:r>
      <w:r w:rsidRPr="00872682">
        <w:rPr>
          <w:rFonts w:ascii="Albertus Extra Bold" w:hAnsi="Albertus Extra Bold"/>
          <w:b/>
        </w:rPr>
        <w:t>[</w:t>
      </w:r>
      <w:r w:rsidRPr="00B90838">
        <w:t>separate</w:t>
      </w:r>
      <w:r w:rsidRPr="00872682">
        <w:rPr>
          <w:rFonts w:ascii="Albertus Extra Bold" w:hAnsi="Albertus Extra Bold"/>
          <w:b/>
        </w:rPr>
        <w:t>]</w:t>
      </w:r>
      <w:r w:rsidRPr="00B90838">
        <w:t xml:space="preserve"> </w:t>
      </w:r>
      <w:r w:rsidRPr="00872682">
        <w:rPr>
          <w:u w:val="single"/>
        </w:rPr>
        <w:t>restaurants that are operated under the same name as the small business restaurant</w:t>
      </w:r>
      <w:r>
        <w:rPr>
          <w:rFonts w:ascii="Albertus Extra Bold" w:hAnsi="Albertus Extra Bold"/>
          <w:b/>
          <w:vertAlign w:val="superscript"/>
        </w:rPr>
        <w:t>1</w:t>
      </w:r>
      <w:r>
        <w:t xml:space="preserve"> at </w:t>
      </w:r>
      <w:r w:rsidRPr="00B90838">
        <w:t>locations outside the State.</w:t>
      </w:r>
    </w:p>
    <w:p w14:paraId="4B6E4CD7" w14:textId="77777777" w:rsidR="00042B6E" w:rsidRDefault="00042B6E" w:rsidP="00042B6E"/>
    <w:p w14:paraId="2C84CCAD" w14:textId="11DA0CD5" w:rsidR="00042B6E" w:rsidRDefault="00042B6E" w:rsidP="00042B6E">
      <w:pPr>
        <w:rPr>
          <w:u w:val="single"/>
        </w:rPr>
      </w:pPr>
      <w:r>
        <w:tab/>
      </w:r>
      <w:r w:rsidRPr="00B519D5">
        <w:t>2.</w:t>
      </w:r>
      <w:r w:rsidRPr="00B519D5">
        <w:tab/>
        <w:t>a.  Notwithstanding section 26 o</w:t>
      </w:r>
      <w:r>
        <w:t>f P.L.2004, c.65 (C.54A:5-1.2),</w:t>
      </w:r>
      <w:r w:rsidRPr="00B519D5">
        <w:t xml:space="preserve"> a taxpayer who is </w:t>
      </w:r>
      <w:r>
        <w:rPr>
          <w:rFonts w:ascii="Albertus Extra Bold" w:hAnsi="Albertus Extra Bold"/>
          <w:b/>
          <w:vertAlign w:val="superscript"/>
        </w:rPr>
        <w:t>1</w:t>
      </w:r>
      <w:r w:rsidRPr="00B519D5">
        <w:rPr>
          <w:u w:val="single"/>
        </w:rPr>
        <w:t>the owner of</w:t>
      </w:r>
      <w:r>
        <w:rPr>
          <w:rFonts w:ascii="Albertus Extra Bold" w:hAnsi="Albertus Extra Bold"/>
          <w:b/>
          <w:vertAlign w:val="superscript"/>
        </w:rPr>
        <w:t>1</w:t>
      </w:r>
      <w:r>
        <w:t xml:space="preserve"> </w:t>
      </w:r>
      <w:r w:rsidRPr="00B519D5">
        <w:t xml:space="preserve">a small business restaurant </w:t>
      </w:r>
      <w:r>
        <w:rPr>
          <w:rFonts w:ascii="Albertus Extra Bold" w:hAnsi="Albertus Extra Bold"/>
          <w:b/>
          <w:vertAlign w:val="superscript"/>
        </w:rPr>
        <w:t>1</w:t>
      </w:r>
      <w:r w:rsidRPr="00B519D5">
        <w:rPr>
          <w:rFonts w:ascii="Albertus Extra Bold" w:hAnsi="Albertus Extra Bold"/>
          <w:b/>
        </w:rPr>
        <w:t>[</w:t>
      </w:r>
      <w:r w:rsidRPr="00B519D5">
        <w:t>owner</w:t>
      </w:r>
      <w:r w:rsidRPr="00B519D5">
        <w:rPr>
          <w:rFonts w:ascii="Albertus Extra Bold" w:hAnsi="Albertus Extra Bold"/>
          <w:b/>
        </w:rPr>
        <w:t>]</w:t>
      </w:r>
      <w:r w:rsidRPr="00B519D5">
        <w:t xml:space="preserve"> </w:t>
      </w:r>
      <w:r w:rsidRPr="00B519D5">
        <w:rPr>
          <w:u w:val="single"/>
        </w:rPr>
        <w:t>, wedding venue, banquet hall, or an alcoholic beverage manufacturer</w:t>
      </w:r>
      <w:r>
        <w:rPr>
          <w:rFonts w:ascii="Albertus Extra Bold" w:hAnsi="Albertus Extra Bold"/>
          <w:b/>
          <w:vertAlign w:val="superscript"/>
        </w:rPr>
        <w:t>1</w:t>
      </w:r>
      <w:r>
        <w:t xml:space="preserve"> </w:t>
      </w:r>
      <w:r w:rsidRPr="00B519D5">
        <w:t>shall be allowed the additional depreciation allowance of subsection (k) of section 168 of the federal Internal Revenue Code of 1986 (26 U.S.C. s.168) for up to $150,000 of eligible property expenditures for the restaurant</w:t>
      </w:r>
      <w:r>
        <w:rPr>
          <w:rFonts w:ascii="Albertus Extra Bold" w:hAnsi="Albertus Extra Bold"/>
          <w:b/>
          <w:vertAlign w:val="superscript"/>
        </w:rPr>
        <w:t>1</w:t>
      </w:r>
      <w:r>
        <w:rPr>
          <w:u w:val="single"/>
        </w:rPr>
        <w:t>, wedding venue,</w:t>
      </w:r>
      <w:r>
        <w:rPr>
          <w:u w:val="single"/>
        </w:rPr>
        <w:br w:type="page"/>
      </w:r>
    </w:p>
    <w:p w14:paraId="04FA438A" w14:textId="528752EA" w:rsidR="00042B6E" w:rsidRPr="00B519D5" w:rsidRDefault="00042B6E" w:rsidP="00042B6E">
      <w:r w:rsidRPr="00B519D5">
        <w:rPr>
          <w:u w:val="single"/>
        </w:rPr>
        <w:lastRenderedPageBreak/>
        <w:t>banquet hall, or alcoholic beverage manufacturer</w:t>
      </w:r>
      <w:r>
        <w:rPr>
          <w:rFonts w:ascii="Albertus Extra Bold" w:hAnsi="Albertus Extra Bold"/>
          <w:b/>
          <w:vertAlign w:val="superscript"/>
        </w:rPr>
        <w:t>1</w:t>
      </w:r>
      <w:r w:rsidRPr="00B519D5">
        <w:t xml:space="preserve">, provided that, section 26 of P.L.2004, c.65 (C.54A:5-1.2) prohibited such additional depreciation allowance.  The director shall prescribe the rules and regulations necessary to carry out the provisions of this section. </w:t>
      </w:r>
    </w:p>
    <w:p w14:paraId="0FFDC799" w14:textId="77777777" w:rsidR="00042B6E" w:rsidRPr="00B519D5" w:rsidRDefault="00042B6E" w:rsidP="00042B6E">
      <w:r w:rsidRPr="00B519D5">
        <w:tab/>
        <w:t>b.</w:t>
      </w:r>
      <w:r w:rsidRPr="00B519D5">
        <w:tab/>
        <w:t>As used in this section:</w:t>
      </w:r>
    </w:p>
    <w:p w14:paraId="15DEF07B" w14:textId="77777777" w:rsidR="00042B6E" w:rsidRPr="00B519D5" w:rsidRDefault="00042B6E" w:rsidP="00042B6E">
      <w:r>
        <w:tab/>
      </w:r>
      <w:r>
        <w:rPr>
          <w:rFonts w:ascii="Albertus Extra Bold" w:hAnsi="Albertus Extra Bold"/>
          <w:b/>
          <w:vertAlign w:val="superscript"/>
        </w:rPr>
        <w:t>1</w:t>
      </w:r>
      <w:r w:rsidRPr="00B519D5">
        <w:rPr>
          <w:u w:val="single"/>
        </w:rPr>
        <w:t>“Alcoholic beverage manufacturer” means a limited brewery, winery, distillery, cidery, or meadery licensed pursuant to R.S.33:1-10.</w:t>
      </w:r>
      <w:r>
        <w:rPr>
          <w:rFonts w:ascii="Albertus Extra Bold" w:hAnsi="Albertus Extra Bold"/>
          <w:b/>
          <w:vertAlign w:val="superscript"/>
        </w:rPr>
        <w:t>1</w:t>
      </w:r>
    </w:p>
    <w:p w14:paraId="24BC657E" w14:textId="77777777" w:rsidR="00042B6E" w:rsidRPr="00B519D5" w:rsidRDefault="00042B6E" w:rsidP="00042B6E">
      <w:r w:rsidRPr="00B519D5">
        <w:tab/>
        <w:t>“Director” means Director of the Division of Taxation in the Department of the Treasury.</w:t>
      </w:r>
    </w:p>
    <w:p w14:paraId="6A8E5F33" w14:textId="77777777" w:rsidR="00042B6E" w:rsidRPr="00B519D5" w:rsidRDefault="00042B6E" w:rsidP="00042B6E">
      <w:r w:rsidRPr="00B519D5">
        <w:tab/>
        <w:t xml:space="preserve">“Eligible property expenditures” means capital expenditures incurred by the taxpayer to comply with the health and safety requirements imposed under the executive orders issued by the Governor in response to the COVID-19 pandemic, including but not limited to the purchase of heaters </w:t>
      </w:r>
      <w:r w:rsidRPr="00F70901">
        <w:t xml:space="preserve">and overhangs </w:t>
      </w:r>
      <w:r w:rsidRPr="00AA65B8">
        <w:rPr>
          <w:rFonts w:ascii="Albertus Extra Bold" w:hAnsi="Albertus Extra Bold"/>
          <w:b/>
          <w:vertAlign w:val="superscript"/>
        </w:rPr>
        <w:t>1</w:t>
      </w:r>
      <w:r w:rsidRPr="00B519D5">
        <w:rPr>
          <w:u w:val="single"/>
        </w:rPr>
        <w:t>and upgrades to heating, ventilation, and air conditioning systems</w:t>
      </w:r>
      <w:r>
        <w:rPr>
          <w:rFonts w:ascii="Albertus Extra Bold" w:hAnsi="Albertus Extra Bold"/>
          <w:b/>
          <w:vertAlign w:val="superscript"/>
        </w:rPr>
        <w:t>1</w:t>
      </w:r>
      <w:r w:rsidRPr="00B519D5">
        <w:t xml:space="preserve">.  </w:t>
      </w:r>
    </w:p>
    <w:p w14:paraId="72E70BDB" w14:textId="77777777" w:rsidR="00042B6E" w:rsidRDefault="00042B6E" w:rsidP="00042B6E">
      <w:r w:rsidRPr="00B519D5">
        <w:tab/>
        <w:t xml:space="preserve">“Small business restaurant” means a restaurant, as defined in section 1 of P.L.1983, c.488 (C.26:3E-1) with not more than 100 employees, but shall not include a restaurant </w:t>
      </w:r>
      <w:r>
        <w:rPr>
          <w:rFonts w:ascii="Albertus Extra Bold" w:hAnsi="Albertus Extra Bold"/>
          <w:b/>
          <w:vertAlign w:val="superscript"/>
        </w:rPr>
        <w:t>1</w:t>
      </w:r>
      <w:r w:rsidRPr="00B519D5">
        <w:rPr>
          <w:rFonts w:ascii="Albertus Extra Bold" w:hAnsi="Albertus Extra Bold"/>
          <w:b/>
        </w:rPr>
        <w:t>[</w:t>
      </w:r>
      <w:r w:rsidRPr="00B519D5">
        <w:t>with</w:t>
      </w:r>
      <w:r w:rsidRPr="00B519D5">
        <w:rPr>
          <w:rFonts w:ascii="Albertus Extra Bold" w:hAnsi="Albertus Extra Bold"/>
          <w:b/>
        </w:rPr>
        <w:t>]</w:t>
      </w:r>
      <w:r w:rsidRPr="00B519D5">
        <w:t xml:space="preserve"> </w:t>
      </w:r>
      <w:r w:rsidRPr="00B519D5">
        <w:rPr>
          <w:u w:val="single"/>
        </w:rPr>
        <w:t>if its owner also owns</w:t>
      </w:r>
      <w:r>
        <w:rPr>
          <w:rFonts w:ascii="Albertus Extra Bold" w:hAnsi="Albertus Extra Bold"/>
          <w:b/>
          <w:vertAlign w:val="superscript"/>
        </w:rPr>
        <w:t>1</w:t>
      </w:r>
      <w:r>
        <w:t xml:space="preserve"> </w:t>
      </w:r>
      <w:r w:rsidRPr="00B519D5">
        <w:t xml:space="preserve">more than two </w:t>
      </w:r>
      <w:r>
        <w:rPr>
          <w:rFonts w:ascii="Albertus Extra Bold" w:hAnsi="Albertus Extra Bold"/>
          <w:b/>
          <w:vertAlign w:val="superscript"/>
        </w:rPr>
        <w:t>1</w:t>
      </w:r>
      <w:r w:rsidRPr="00B519D5">
        <w:rPr>
          <w:rFonts w:ascii="Albertus Extra Bold" w:hAnsi="Albertus Extra Bold"/>
          <w:b/>
        </w:rPr>
        <w:t>[</w:t>
      </w:r>
      <w:r w:rsidRPr="00B519D5">
        <w:t>separate</w:t>
      </w:r>
      <w:r w:rsidRPr="00B519D5">
        <w:rPr>
          <w:rFonts w:ascii="Albertus Extra Bold" w:hAnsi="Albertus Extra Bold"/>
          <w:b/>
        </w:rPr>
        <w:t>]</w:t>
      </w:r>
      <w:r w:rsidRPr="00B519D5">
        <w:t xml:space="preserve"> </w:t>
      </w:r>
      <w:r w:rsidRPr="00B519D5">
        <w:rPr>
          <w:u w:val="single"/>
        </w:rPr>
        <w:t>restaurants that are operated under the same name as the small business restaurant</w:t>
      </w:r>
      <w:r>
        <w:rPr>
          <w:rFonts w:ascii="Albertus Extra Bold" w:hAnsi="Albertus Extra Bold"/>
          <w:b/>
          <w:vertAlign w:val="superscript"/>
        </w:rPr>
        <w:t>1</w:t>
      </w:r>
      <w:r>
        <w:t xml:space="preserve"> at </w:t>
      </w:r>
      <w:r w:rsidRPr="00B519D5">
        <w:t>locations outside the State.</w:t>
      </w:r>
    </w:p>
    <w:p w14:paraId="42DAEE85" w14:textId="5507CEA3" w:rsidR="00042B6E" w:rsidRDefault="00042B6E" w:rsidP="00042B6E"/>
    <w:p w14:paraId="7A974CB9" w14:textId="63FD4E90" w:rsidR="00686AEB" w:rsidRPr="00AA7880" w:rsidRDefault="00042B6E" w:rsidP="00042B6E">
      <w:r>
        <w:tab/>
      </w:r>
      <w:r w:rsidRPr="00B519D5">
        <w:t>3.</w:t>
      </w:r>
      <w:r w:rsidRPr="00B519D5">
        <w:tab/>
        <w:t>This act shall take effect immediately</w:t>
      </w:r>
      <w:r>
        <w:t xml:space="preserve"> </w:t>
      </w:r>
      <w:r w:rsidRPr="00B519D5">
        <w:rPr>
          <w:rFonts w:ascii="Albertus Extra Bold" w:hAnsi="Albertus Extra Bold"/>
          <w:b/>
          <w:vertAlign w:val="superscript"/>
        </w:rPr>
        <w:t>1</w:t>
      </w:r>
      <w:r w:rsidRPr="00B519D5">
        <w:rPr>
          <w:u w:val="single"/>
        </w:rPr>
        <w:t>and shall be retroactive to March 9, 2020</w:t>
      </w:r>
      <w:r>
        <w:rPr>
          <w:rFonts w:ascii="Albertus Extra Bold" w:hAnsi="Albertus Extra Bold"/>
          <w:b/>
          <w:vertAlign w:val="superscript"/>
        </w:rPr>
        <w:t>1</w:t>
      </w:r>
      <w:r w:rsidRPr="00B519D5">
        <w:t>.</w:t>
      </w:r>
      <w:r w:rsidR="008F3D8E">
        <w:t xml:space="preserve"> </w:t>
      </w:r>
    </w:p>
    <w:sectPr w:rsidR="00686AEB" w:rsidRPr="00AA7880" w:rsidSect="00042B6E">
      <w:headerReference w:type="default" r:id="rId13"/>
      <w:footerReference w:type="default" r:id="rId14"/>
      <w:headerReference w:type="first" r:id="rId15"/>
      <w:footerReference w:type="first" r:id="rId16"/>
      <w:pgSz w:w="12240" w:h="20160" w:code="5"/>
      <w:pgMar w:top="1440" w:right="2520" w:bottom="207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E0C5D" w14:textId="77777777" w:rsidR="00991545" w:rsidRDefault="00991545">
      <w:r>
        <w:separator/>
      </w:r>
    </w:p>
  </w:endnote>
  <w:endnote w:type="continuationSeparator" w:id="0">
    <w:p w14:paraId="63885497" w14:textId="77777777" w:rsidR="00991545" w:rsidRDefault="00991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DCE57" w14:textId="1C0EE1F8" w:rsidR="00A010B4" w:rsidRDefault="00C14926" w:rsidP="00C1492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6EEA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D23D1" w14:textId="77777777" w:rsidR="00042B6E" w:rsidRPr="00921C91" w:rsidRDefault="00042B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F23D6B3" w14:textId="77777777" w:rsidR="00042B6E" w:rsidRPr="00921C91" w:rsidRDefault="00042B6E">
    <w:pPr>
      <w:pStyle w:val="Footer"/>
      <w:rPr>
        <w:szCs w:val="18"/>
      </w:rPr>
    </w:pPr>
  </w:p>
  <w:p w14:paraId="7CF07FB1" w14:textId="77777777" w:rsidR="00042B6E" w:rsidRPr="00921C91" w:rsidRDefault="00042B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5C389D2" w14:textId="2D826AD0" w:rsidR="00042B6E" w:rsidRDefault="00042B6E" w:rsidP="00C94D57">
    <w:pPr>
      <w:pStyle w:val="Footer"/>
    </w:pPr>
    <w:r>
      <w:tab/>
      <w:t>Matter enclosed in superscript numerals has been adopted as follows:</w:t>
    </w:r>
  </w:p>
  <w:p w14:paraId="7F4870FF" w14:textId="7AACD9C7" w:rsidR="00042B6E" w:rsidRDefault="00042B6E" w:rsidP="00C94D5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1D5C5" w14:textId="77777777" w:rsidR="00991545" w:rsidRDefault="00991545">
      <w:r>
        <w:separator/>
      </w:r>
    </w:p>
  </w:footnote>
  <w:footnote w:type="continuationSeparator" w:id="0">
    <w:p w14:paraId="6C68085B" w14:textId="77777777" w:rsidR="00991545" w:rsidRDefault="00991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EAA5F" w14:textId="77777777" w:rsidR="00665CBC" w:rsidRDefault="008A7082">
    <w:pPr>
      <w:pStyle w:val="Header"/>
    </w:pPr>
    <w:r>
      <w:rPr>
        <w:noProof/>
      </w:rPr>
      <w:pict w14:anchorId="360E63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0E789" w14:textId="44CE0ED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EDE0A" w14:textId="2E3A3734" w:rsidR="00665CBC" w:rsidRDefault="00665CBC" w:rsidP="00686AEB">
    <w:pPr>
      <w:pStyle w:val="Header"/>
      <w:jc w:val="center"/>
      <w:rPr>
        <w:rStyle w:val="PageNumber"/>
      </w:rPr>
    </w:pPr>
  </w:p>
  <w:p w14:paraId="0A649DEF" w14:textId="42E0D7A6" w:rsidR="007A2CE3" w:rsidRDefault="007A2CE3" w:rsidP="007A2CE3">
    <w:pPr>
      <w:pStyle w:val="bpuHeadSpon"/>
    </w:pPr>
    <w:r w:rsidRPr="007A2CE3">
      <w:rPr>
        <w:rStyle w:val="bpuHeadSponChar"/>
      </w:rPr>
      <w:t>S3404</w:t>
    </w:r>
    <w:r>
      <w:t xml:space="preserve"> </w:t>
    </w:r>
    <w:r w:rsidR="00042B6E">
      <w:t xml:space="preserve">[1R] </w:t>
    </w:r>
    <w:r>
      <w:t>GOPAL</w:t>
    </w:r>
    <w:r w:rsidR="003851A7">
      <w:t>, LAGANA</w:t>
    </w:r>
  </w:p>
  <w:p w14:paraId="2FB8DB88" w14:textId="6236B1FB" w:rsidR="007A2CE3" w:rsidRDefault="007A2CE3" w:rsidP="007A2CE3">
    <w:pPr>
      <w:pStyle w:val="bpuHeadSpon"/>
    </w:pPr>
    <w:r>
      <w:fldChar w:fldCharType="begin"/>
    </w:r>
    <w:r>
      <w:instrText xml:space="preserve"> PAGE  \* MERGEFORMAT </w:instrText>
    </w:r>
    <w:r>
      <w:fldChar w:fldCharType="separate"/>
    </w:r>
    <w:r w:rsidR="007E33ED">
      <w:rPr>
        <w:noProof/>
      </w:rPr>
      <w:t>3</w:t>
    </w:r>
    <w:r>
      <w:fldChar w:fldCharType="end"/>
    </w:r>
  </w:p>
  <w:p w14:paraId="247865FE" w14:textId="77777777" w:rsidR="007A2CE3" w:rsidRDefault="007A2CE3" w:rsidP="007A2C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97B40" w14:textId="1FAAAF3D" w:rsidR="00665CBC" w:rsidRDefault="00665CBC">
    <w:pPr>
      <w:pStyle w:val="Header"/>
    </w:pPr>
  </w:p>
  <w:p w14:paraId="72117F77" w14:textId="576724D2" w:rsidR="007A2CE3" w:rsidRDefault="007A2CE3" w:rsidP="007A2CE3">
    <w:pPr>
      <w:pStyle w:val="bpuHeadSpon"/>
    </w:pPr>
    <w:r w:rsidRPr="007A2CE3">
      <w:rPr>
        <w:rStyle w:val="bpuHeadSponChar"/>
      </w:rPr>
      <w:t>S3404</w:t>
    </w:r>
    <w:r>
      <w:t xml:space="preserve"> </w:t>
    </w:r>
    <w:r w:rsidR="00042B6E">
      <w:t xml:space="preserve">[1R] </w:t>
    </w:r>
    <w:r>
      <w:t>GOPAL</w:t>
    </w:r>
    <w:r w:rsidR="003851A7">
      <w:t>, LAGANA</w:t>
    </w:r>
  </w:p>
  <w:p w14:paraId="0C2114BC" w14:textId="18E3BD5A" w:rsidR="007A2CE3" w:rsidRDefault="007A2CE3" w:rsidP="007A2CE3">
    <w:pPr>
      <w:pStyle w:val="bpuHeadSpon"/>
    </w:pPr>
    <w:r>
      <w:fldChar w:fldCharType="begin"/>
    </w:r>
    <w:r>
      <w:instrText xml:space="preserve"> PAGE  \* MERGEFORMAT </w:instrText>
    </w:r>
    <w:r>
      <w:fldChar w:fldCharType="separate"/>
    </w:r>
    <w:r w:rsidR="007E33ED">
      <w:rPr>
        <w:noProof/>
      </w:rPr>
      <w:t>2</w:t>
    </w:r>
    <w:r>
      <w:fldChar w:fldCharType="end"/>
    </w:r>
  </w:p>
  <w:p w14:paraId="30BDF8DC" w14:textId="77777777" w:rsidR="007A2CE3" w:rsidRDefault="007A2CE3" w:rsidP="007A2C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65E"/>
    <w:rsid w:val="000051BD"/>
    <w:rsid w:val="000160A5"/>
    <w:rsid w:val="0002335B"/>
    <w:rsid w:val="000242AA"/>
    <w:rsid w:val="0003549A"/>
    <w:rsid w:val="000367AE"/>
    <w:rsid w:val="00042B6E"/>
    <w:rsid w:val="00043B22"/>
    <w:rsid w:val="000520CD"/>
    <w:rsid w:val="00054037"/>
    <w:rsid w:val="00054975"/>
    <w:rsid w:val="00057AB4"/>
    <w:rsid w:val="00057D20"/>
    <w:rsid w:val="0006197C"/>
    <w:rsid w:val="0006281F"/>
    <w:rsid w:val="000664A3"/>
    <w:rsid w:val="000775E2"/>
    <w:rsid w:val="0008141C"/>
    <w:rsid w:val="00094A55"/>
    <w:rsid w:val="000A44A7"/>
    <w:rsid w:val="000B1054"/>
    <w:rsid w:val="000B109D"/>
    <w:rsid w:val="000B3411"/>
    <w:rsid w:val="000B5774"/>
    <w:rsid w:val="000B77CE"/>
    <w:rsid w:val="000C054C"/>
    <w:rsid w:val="000C12C2"/>
    <w:rsid w:val="000C5038"/>
    <w:rsid w:val="000D11AF"/>
    <w:rsid w:val="000D6255"/>
    <w:rsid w:val="000D6262"/>
    <w:rsid w:val="000D7B4A"/>
    <w:rsid w:val="000E0176"/>
    <w:rsid w:val="000E4006"/>
    <w:rsid w:val="000F3DA2"/>
    <w:rsid w:val="000F5FDE"/>
    <w:rsid w:val="000F7466"/>
    <w:rsid w:val="00111CF0"/>
    <w:rsid w:val="0013000E"/>
    <w:rsid w:val="00132042"/>
    <w:rsid w:val="00133F81"/>
    <w:rsid w:val="00135943"/>
    <w:rsid w:val="00140E5A"/>
    <w:rsid w:val="00141C8F"/>
    <w:rsid w:val="0014664C"/>
    <w:rsid w:val="00160675"/>
    <w:rsid w:val="001645FB"/>
    <w:rsid w:val="0017365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815"/>
    <w:rsid w:val="001E6213"/>
    <w:rsid w:val="001E7712"/>
    <w:rsid w:val="001F14C7"/>
    <w:rsid w:val="001F3A80"/>
    <w:rsid w:val="001F7405"/>
    <w:rsid w:val="00205533"/>
    <w:rsid w:val="00210F12"/>
    <w:rsid w:val="00212B8D"/>
    <w:rsid w:val="00222983"/>
    <w:rsid w:val="002370D0"/>
    <w:rsid w:val="00255958"/>
    <w:rsid w:val="00257FA2"/>
    <w:rsid w:val="0026574A"/>
    <w:rsid w:val="002660BB"/>
    <w:rsid w:val="002720E8"/>
    <w:rsid w:val="00275293"/>
    <w:rsid w:val="00276496"/>
    <w:rsid w:val="002776B0"/>
    <w:rsid w:val="002825FB"/>
    <w:rsid w:val="00286C7E"/>
    <w:rsid w:val="002A1029"/>
    <w:rsid w:val="002A3A1A"/>
    <w:rsid w:val="002A4692"/>
    <w:rsid w:val="002A51BA"/>
    <w:rsid w:val="002B2E26"/>
    <w:rsid w:val="002B36DA"/>
    <w:rsid w:val="002B3FE6"/>
    <w:rsid w:val="002C2D81"/>
    <w:rsid w:val="002C461E"/>
    <w:rsid w:val="002C6CEC"/>
    <w:rsid w:val="002D6834"/>
    <w:rsid w:val="002E09CE"/>
    <w:rsid w:val="002E0E35"/>
    <w:rsid w:val="002E69D1"/>
    <w:rsid w:val="002F3BA6"/>
    <w:rsid w:val="003021C0"/>
    <w:rsid w:val="0030710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853"/>
    <w:rsid w:val="00382F1F"/>
    <w:rsid w:val="003840E5"/>
    <w:rsid w:val="003851A7"/>
    <w:rsid w:val="00391DA4"/>
    <w:rsid w:val="00392A1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4B7"/>
    <w:rsid w:val="0043386C"/>
    <w:rsid w:val="00436F2D"/>
    <w:rsid w:val="00436F5D"/>
    <w:rsid w:val="004408EF"/>
    <w:rsid w:val="00441B42"/>
    <w:rsid w:val="0045118A"/>
    <w:rsid w:val="00455D51"/>
    <w:rsid w:val="00456BF9"/>
    <w:rsid w:val="00457EBE"/>
    <w:rsid w:val="00461057"/>
    <w:rsid w:val="00462FEE"/>
    <w:rsid w:val="004704A8"/>
    <w:rsid w:val="00471102"/>
    <w:rsid w:val="00471F18"/>
    <w:rsid w:val="00484144"/>
    <w:rsid w:val="00484C19"/>
    <w:rsid w:val="00485866"/>
    <w:rsid w:val="00492076"/>
    <w:rsid w:val="00493B1D"/>
    <w:rsid w:val="004958F7"/>
    <w:rsid w:val="004968CE"/>
    <w:rsid w:val="00497037"/>
    <w:rsid w:val="004A3009"/>
    <w:rsid w:val="004A4752"/>
    <w:rsid w:val="004A6940"/>
    <w:rsid w:val="004A77A4"/>
    <w:rsid w:val="004A7D69"/>
    <w:rsid w:val="004C3AD2"/>
    <w:rsid w:val="004C3CE7"/>
    <w:rsid w:val="004C742C"/>
    <w:rsid w:val="004E1F3E"/>
    <w:rsid w:val="004E3CF6"/>
    <w:rsid w:val="004F21BD"/>
    <w:rsid w:val="004F4F1D"/>
    <w:rsid w:val="004F74DD"/>
    <w:rsid w:val="00501317"/>
    <w:rsid w:val="0050495C"/>
    <w:rsid w:val="00505DC9"/>
    <w:rsid w:val="00506E1E"/>
    <w:rsid w:val="00513C81"/>
    <w:rsid w:val="00527BFB"/>
    <w:rsid w:val="00532A32"/>
    <w:rsid w:val="00540B0B"/>
    <w:rsid w:val="00541C91"/>
    <w:rsid w:val="0054460F"/>
    <w:rsid w:val="00544F36"/>
    <w:rsid w:val="00545535"/>
    <w:rsid w:val="00546871"/>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7C8"/>
    <w:rsid w:val="005E017C"/>
    <w:rsid w:val="005E50C6"/>
    <w:rsid w:val="005F2A97"/>
    <w:rsid w:val="005F399B"/>
    <w:rsid w:val="006019F8"/>
    <w:rsid w:val="00602754"/>
    <w:rsid w:val="00605B20"/>
    <w:rsid w:val="0060709E"/>
    <w:rsid w:val="0061156F"/>
    <w:rsid w:val="00613FF5"/>
    <w:rsid w:val="006155A8"/>
    <w:rsid w:val="00621076"/>
    <w:rsid w:val="00621B94"/>
    <w:rsid w:val="0062369C"/>
    <w:rsid w:val="00626239"/>
    <w:rsid w:val="00635316"/>
    <w:rsid w:val="00635449"/>
    <w:rsid w:val="006378C5"/>
    <w:rsid w:val="00645E6A"/>
    <w:rsid w:val="00665CBC"/>
    <w:rsid w:val="00667A5C"/>
    <w:rsid w:val="00674307"/>
    <w:rsid w:val="00677316"/>
    <w:rsid w:val="00686AEB"/>
    <w:rsid w:val="006A1522"/>
    <w:rsid w:val="006A1DA1"/>
    <w:rsid w:val="006B7897"/>
    <w:rsid w:val="006B7FA7"/>
    <w:rsid w:val="006C086A"/>
    <w:rsid w:val="006C21C1"/>
    <w:rsid w:val="006C7327"/>
    <w:rsid w:val="006D00E5"/>
    <w:rsid w:val="006D791B"/>
    <w:rsid w:val="006E2895"/>
    <w:rsid w:val="006F180D"/>
    <w:rsid w:val="006F4334"/>
    <w:rsid w:val="006F47AF"/>
    <w:rsid w:val="006F6B8A"/>
    <w:rsid w:val="00707CD3"/>
    <w:rsid w:val="00714E1E"/>
    <w:rsid w:val="00716BB9"/>
    <w:rsid w:val="00723886"/>
    <w:rsid w:val="007256D1"/>
    <w:rsid w:val="007279FD"/>
    <w:rsid w:val="00732D91"/>
    <w:rsid w:val="00743707"/>
    <w:rsid w:val="007502CB"/>
    <w:rsid w:val="00752D79"/>
    <w:rsid w:val="00752E20"/>
    <w:rsid w:val="007541A1"/>
    <w:rsid w:val="00755E16"/>
    <w:rsid w:val="00756EDE"/>
    <w:rsid w:val="00764456"/>
    <w:rsid w:val="00781B4D"/>
    <w:rsid w:val="007824BF"/>
    <w:rsid w:val="00783B8D"/>
    <w:rsid w:val="00794B94"/>
    <w:rsid w:val="00794BD4"/>
    <w:rsid w:val="007A0ECC"/>
    <w:rsid w:val="007A2CE3"/>
    <w:rsid w:val="007A2F73"/>
    <w:rsid w:val="007A3061"/>
    <w:rsid w:val="007A5A0B"/>
    <w:rsid w:val="007C0E14"/>
    <w:rsid w:val="007C2DFC"/>
    <w:rsid w:val="007C3943"/>
    <w:rsid w:val="007C7DE4"/>
    <w:rsid w:val="007D40CB"/>
    <w:rsid w:val="007D5796"/>
    <w:rsid w:val="007D59C0"/>
    <w:rsid w:val="007D7D9C"/>
    <w:rsid w:val="007E33ED"/>
    <w:rsid w:val="007F485D"/>
    <w:rsid w:val="007F6050"/>
    <w:rsid w:val="00813627"/>
    <w:rsid w:val="00832816"/>
    <w:rsid w:val="00837109"/>
    <w:rsid w:val="00840365"/>
    <w:rsid w:val="008406A3"/>
    <w:rsid w:val="00841D2C"/>
    <w:rsid w:val="00845F3C"/>
    <w:rsid w:val="008461B8"/>
    <w:rsid w:val="008462F1"/>
    <w:rsid w:val="00847EF1"/>
    <w:rsid w:val="0085364E"/>
    <w:rsid w:val="008538FA"/>
    <w:rsid w:val="008573B0"/>
    <w:rsid w:val="0086472D"/>
    <w:rsid w:val="00866563"/>
    <w:rsid w:val="00867AC2"/>
    <w:rsid w:val="0087056E"/>
    <w:rsid w:val="00875402"/>
    <w:rsid w:val="00884D51"/>
    <w:rsid w:val="008916EC"/>
    <w:rsid w:val="00891E4F"/>
    <w:rsid w:val="008A31C5"/>
    <w:rsid w:val="008A4F9A"/>
    <w:rsid w:val="008B2850"/>
    <w:rsid w:val="008B3684"/>
    <w:rsid w:val="008B4BD4"/>
    <w:rsid w:val="008C4E15"/>
    <w:rsid w:val="008C79B3"/>
    <w:rsid w:val="008D77BD"/>
    <w:rsid w:val="008E0917"/>
    <w:rsid w:val="008E454C"/>
    <w:rsid w:val="008E54DF"/>
    <w:rsid w:val="008F1E5A"/>
    <w:rsid w:val="008F3D8E"/>
    <w:rsid w:val="00901BDA"/>
    <w:rsid w:val="009038C0"/>
    <w:rsid w:val="009121D8"/>
    <w:rsid w:val="00912D9C"/>
    <w:rsid w:val="00916F7A"/>
    <w:rsid w:val="00917FE3"/>
    <w:rsid w:val="009318C7"/>
    <w:rsid w:val="00931C09"/>
    <w:rsid w:val="009348C2"/>
    <w:rsid w:val="009440D0"/>
    <w:rsid w:val="00947C82"/>
    <w:rsid w:val="009523A3"/>
    <w:rsid w:val="00960958"/>
    <w:rsid w:val="00963A46"/>
    <w:rsid w:val="00966A3E"/>
    <w:rsid w:val="00971493"/>
    <w:rsid w:val="00971AD9"/>
    <w:rsid w:val="00973069"/>
    <w:rsid w:val="00973523"/>
    <w:rsid w:val="00980766"/>
    <w:rsid w:val="009835D4"/>
    <w:rsid w:val="009865D4"/>
    <w:rsid w:val="00986DE8"/>
    <w:rsid w:val="009873E0"/>
    <w:rsid w:val="0099154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0B4"/>
    <w:rsid w:val="00A017C0"/>
    <w:rsid w:val="00A061EA"/>
    <w:rsid w:val="00A10054"/>
    <w:rsid w:val="00A11228"/>
    <w:rsid w:val="00A222C2"/>
    <w:rsid w:val="00A305D6"/>
    <w:rsid w:val="00A342C4"/>
    <w:rsid w:val="00A50F6B"/>
    <w:rsid w:val="00A52237"/>
    <w:rsid w:val="00A551D6"/>
    <w:rsid w:val="00A6251B"/>
    <w:rsid w:val="00A6754E"/>
    <w:rsid w:val="00A70F58"/>
    <w:rsid w:val="00A72987"/>
    <w:rsid w:val="00A7346B"/>
    <w:rsid w:val="00A84C4F"/>
    <w:rsid w:val="00A86E75"/>
    <w:rsid w:val="00A932A1"/>
    <w:rsid w:val="00A96E06"/>
    <w:rsid w:val="00AA6197"/>
    <w:rsid w:val="00AA6C70"/>
    <w:rsid w:val="00AB16FD"/>
    <w:rsid w:val="00AB4813"/>
    <w:rsid w:val="00AB4E5A"/>
    <w:rsid w:val="00AC11F9"/>
    <w:rsid w:val="00AC4BBE"/>
    <w:rsid w:val="00AC6466"/>
    <w:rsid w:val="00AC7639"/>
    <w:rsid w:val="00AD08BB"/>
    <w:rsid w:val="00AD0EC0"/>
    <w:rsid w:val="00AD1F7D"/>
    <w:rsid w:val="00AD70D6"/>
    <w:rsid w:val="00AD75BC"/>
    <w:rsid w:val="00AD7BB0"/>
    <w:rsid w:val="00AD7BC9"/>
    <w:rsid w:val="00AE1871"/>
    <w:rsid w:val="00AF0DB9"/>
    <w:rsid w:val="00AF1A8C"/>
    <w:rsid w:val="00B0116D"/>
    <w:rsid w:val="00B01173"/>
    <w:rsid w:val="00B02F35"/>
    <w:rsid w:val="00B05A3C"/>
    <w:rsid w:val="00B07100"/>
    <w:rsid w:val="00B1138C"/>
    <w:rsid w:val="00B1429D"/>
    <w:rsid w:val="00B2574A"/>
    <w:rsid w:val="00B35709"/>
    <w:rsid w:val="00B35D8A"/>
    <w:rsid w:val="00B45B34"/>
    <w:rsid w:val="00B55A46"/>
    <w:rsid w:val="00B57047"/>
    <w:rsid w:val="00B61D86"/>
    <w:rsid w:val="00B6342D"/>
    <w:rsid w:val="00B726BD"/>
    <w:rsid w:val="00B732BC"/>
    <w:rsid w:val="00B80130"/>
    <w:rsid w:val="00B90E33"/>
    <w:rsid w:val="00B9676B"/>
    <w:rsid w:val="00BA2EA5"/>
    <w:rsid w:val="00BA364B"/>
    <w:rsid w:val="00BB1190"/>
    <w:rsid w:val="00BB31D0"/>
    <w:rsid w:val="00BB3A11"/>
    <w:rsid w:val="00BB3E80"/>
    <w:rsid w:val="00BB4DDB"/>
    <w:rsid w:val="00BB5D79"/>
    <w:rsid w:val="00BB5F02"/>
    <w:rsid w:val="00BC77D4"/>
    <w:rsid w:val="00BC7892"/>
    <w:rsid w:val="00BE24D6"/>
    <w:rsid w:val="00BE7EFA"/>
    <w:rsid w:val="00BF06AD"/>
    <w:rsid w:val="00BF2C67"/>
    <w:rsid w:val="00C007F9"/>
    <w:rsid w:val="00C04F4D"/>
    <w:rsid w:val="00C12E48"/>
    <w:rsid w:val="00C13D14"/>
    <w:rsid w:val="00C14926"/>
    <w:rsid w:val="00C15F53"/>
    <w:rsid w:val="00C23F09"/>
    <w:rsid w:val="00C25356"/>
    <w:rsid w:val="00C30715"/>
    <w:rsid w:val="00C328D0"/>
    <w:rsid w:val="00C46BC1"/>
    <w:rsid w:val="00C4718B"/>
    <w:rsid w:val="00C5235F"/>
    <w:rsid w:val="00C52643"/>
    <w:rsid w:val="00C54CE2"/>
    <w:rsid w:val="00C551B3"/>
    <w:rsid w:val="00C66BF3"/>
    <w:rsid w:val="00C678B9"/>
    <w:rsid w:val="00C70140"/>
    <w:rsid w:val="00C73CA7"/>
    <w:rsid w:val="00C822F6"/>
    <w:rsid w:val="00C82AC2"/>
    <w:rsid w:val="00C8456C"/>
    <w:rsid w:val="00C84645"/>
    <w:rsid w:val="00C90047"/>
    <w:rsid w:val="00C91E19"/>
    <w:rsid w:val="00C92402"/>
    <w:rsid w:val="00C92867"/>
    <w:rsid w:val="00C93B93"/>
    <w:rsid w:val="00C94D57"/>
    <w:rsid w:val="00CA037D"/>
    <w:rsid w:val="00CA0837"/>
    <w:rsid w:val="00CA2442"/>
    <w:rsid w:val="00CA4725"/>
    <w:rsid w:val="00CB6246"/>
    <w:rsid w:val="00CC0A17"/>
    <w:rsid w:val="00CD0F93"/>
    <w:rsid w:val="00CD1BD1"/>
    <w:rsid w:val="00CD528D"/>
    <w:rsid w:val="00CE31B9"/>
    <w:rsid w:val="00CE78BF"/>
    <w:rsid w:val="00CF65EB"/>
    <w:rsid w:val="00CF72AD"/>
    <w:rsid w:val="00D02441"/>
    <w:rsid w:val="00D039F4"/>
    <w:rsid w:val="00D10496"/>
    <w:rsid w:val="00D11173"/>
    <w:rsid w:val="00D1215F"/>
    <w:rsid w:val="00D16561"/>
    <w:rsid w:val="00D17FF8"/>
    <w:rsid w:val="00D2252C"/>
    <w:rsid w:val="00D268AC"/>
    <w:rsid w:val="00D27FF3"/>
    <w:rsid w:val="00D343D0"/>
    <w:rsid w:val="00D3664D"/>
    <w:rsid w:val="00D4712C"/>
    <w:rsid w:val="00D500E9"/>
    <w:rsid w:val="00D507BC"/>
    <w:rsid w:val="00D6090A"/>
    <w:rsid w:val="00D62FA3"/>
    <w:rsid w:val="00D63B6F"/>
    <w:rsid w:val="00D64A90"/>
    <w:rsid w:val="00D6642C"/>
    <w:rsid w:val="00D9410B"/>
    <w:rsid w:val="00D9695B"/>
    <w:rsid w:val="00DA2417"/>
    <w:rsid w:val="00DA5585"/>
    <w:rsid w:val="00DB02AC"/>
    <w:rsid w:val="00DB6AA2"/>
    <w:rsid w:val="00DE10D1"/>
    <w:rsid w:val="00DE2514"/>
    <w:rsid w:val="00DE6851"/>
    <w:rsid w:val="00DF03EE"/>
    <w:rsid w:val="00DF0E1F"/>
    <w:rsid w:val="00DF6A0D"/>
    <w:rsid w:val="00E01B71"/>
    <w:rsid w:val="00E05CC9"/>
    <w:rsid w:val="00E15573"/>
    <w:rsid w:val="00E25A5B"/>
    <w:rsid w:val="00E373C7"/>
    <w:rsid w:val="00E4267B"/>
    <w:rsid w:val="00E42F13"/>
    <w:rsid w:val="00E452DF"/>
    <w:rsid w:val="00E543CF"/>
    <w:rsid w:val="00E546FD"/>
    <w:rsid w:val="00E57B66"/>
    <w:rsid w:val="00E608F1"/>
    <w:rsid w:val="00E611B9"/>
    <w:rsid w:val="00E62815"/>
    <w:rsid w:val="00E7144F"/>
    <w:rsid w:val="00E73D74"/>
    <w:rsid w:val="00E748C4"/>
    <w:rsid w:val="00E76A79"/>
    <w:rsid w:val="00E80692"/>
    <w:rsid w:val="00E80C24"/>
    <w:rsid w:val="00E93836"/>
    <w:rsid w:val="00EA7C16"/>
    <w:rsid w:val="00EC5281"/>
    <w:rsid w:val="00EC791D"/>
    <w:rsid w:val="00EC7CA6"/>
    <w:rsid w:val="00ED3C5D"/>
    <w:rsid w:val="00ED4553"/>
    <w:rsid w:val="00EE73E4"/>
    <w:rsid w:val="00F00D08"/>
    <w:rsid w:val="00F1350D"/>
    <w:rsid w:val="00F15583"/>
    <w:rsid w:val="00F160A8"/>
    <w:rsid w:val="00F17C18"/>
    <w:rsid w:val="00F200EE"/>
    <w:rsid w:val="00F22481"/>
    <w:rsid w:val="00F2542E"/>
    <w:rsid w:val="00F27278"/>
    <w:rsid w:val="00F344E3"/>
    <w:rsid w:val="00F34D58"/>
    <w:rsid w:val="00F40FC9"/>
    <w:rsid w:val="00F41A9D"/>
    <w:rsid w:val="00F44314"/>
    <w:rsid w:val="00F52378"/>
    <w:rsid w:val="00F54B9C"/>
    <w:rsid w:val="00F56E96"/>
    <w:rsid w:val="00F573DD"/>
    <w:rsid w:val="00F61E59"/>
    <w:rsid w:val="00F63D99"/>
    <w:rsid w:val="00F6426B"/>
    <w:rsid w:val="00F709B3"/>
    <w:rsid w:val="00F71A5E"/>
    <w:rsid w:val="00F76FED"/>
    <w:rsid w:val="00F80AAC"/>
    <w:rsid w:val="00FA0AFC"/>
    <w:rsid w:val="00FA1C82"/>
    <w:rsid w:val="00FA2ED1"/>
    <w:rsid w:val="00FA4A52"/>
    <w:rsid w:val="00FB4045"/>
    <w:rsid w:val="00FB4D8E"/>
    <w:rsid w:val="00FB707A"/>
    <w:rsid w:val="00FC0D0A"/>
    <w:rsid w:val="00FC1B0B"/>
    <w:rsid w:val="00FC7689"/>
    <w:rsid w:val="00FD073F"/>
    <w:rsid w:val="00FD2F97"/>
    <w:rsid w:val="00FE543A"/>
    <w:rsid w:val="00FE79FC"/>
    <w:rsid w:val="00FF331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1062B0"/>
  <w15:docId w15:val="{65788074-8289-4F0B-AB9C-5B6E21A91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54037"/>
    <w:rPr>
      <w:sz w:val="16"/>
      <w:szCs w:val="16"/>
    </w:rPr>
  </w:style>
  <w:style w:type="paragraph" w:styleId="CommentText">
    <w:name w:val="annotation text"/>
    <w:basedOn w:val="Normal"/>
    <w:link w:val="CommentTextChar"/>
    <w:semiHidden/>
    <w:unhideWhenUsed/>
    <w:rsid w:val="00054037"/>
    <w:pPr>
      <w:spacing w:line="240" w:lineRule="auto"/>
    </w:pPr>
    <w:rPr>
      <w:sz w:val="20"/>
      <w:szCs w:val="20"/>
    </w:rPr>
  </w:style>
  <w:style w:type="character" w:customStyle="1" w:styleId="CommentTextChar">
    <w:name w:val="Comment Text Char"/>
    <w:basedOn w:val="DefaultParagraphFont"/>
    <w:link w:val="CommentText"/>
    <w:semiHidden/>
    <w:rsid w:val="00054037"/>
    <w:rPr>
      <w:spacing w:val="4"/>
    </w:rPr>
  </w:style>
  <w:style w:type="paragraph" w:styleId="CommentSubject">
    <w:name w:val="annotation subject"/>
    <w:basedOn w:val="CommentText"/>
    <w:next w:val="CommentText"/>
    <w:link w:val="CommentSubjectChar"/>
    <w:semiHidden/>
    <w:unhideWhenUsed/>
    <w:rsid w:val="00054037"/>
    <w:rPr>
      <w:b/>
      <w:bCs/>
    </w:rPr>
  </w:style>
  <w:style w:type="character" w:customStyle="1" w:styleId="CommentSubjectChar">
    <w:name w:val="Comment Subject Char"/>
    <w:basedOn w:val="CommentTextChar"/>
    <w:link w:val="CommentSubject"/>
    <w:semiHidden/>
    <w:rsid w:val="00054037"/>
    <w:rPr>
      <w:b/>
      <w:bCs/>
      <w:spacing w:val="4"/>
    </w:rPr>
  </w:style>
  <w:style w:type="paragraph" w:styleId="BalloonText">
    <w:name w:val="Balloon Text"/>
    <w:basedOn w:val="Normal"/>
    <w:link w:val="BalloonTextChar"/>
    <w:semiHidden/>
    <w:unhideWhenUsed/>
    <w:rsid w:val="000540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4037"/>
    <w:rPr>
      <w:rFonts w:ascii="Segoe UI" w:hAnsi="Segoe UI" w:cs="Segoe UI"/>
      <w:spacing w:val="4"/>
      <w:sz w:val="18"/>
      <w:szCs w:val="18"/>
    </w:rPr>
  </w:style>
  <w:style w:type="character" w:styleId="LineNumber">
    <w:name w:val="line number"/>
    <w:basedOn w:val="DefaultParagraphFont"/>
    <w:semiHidden/>
    <w:unhideWhenUsed/>
    <w:rsid w:val="007A2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623</Words>
  <Characters>3582</Characters>
  <Application>Microsoft Office Word</Application>
  <DocSecurity>0</DocSecurity>
  <Lines>101</Lines>
  <Paragraphs>32</Paragraphs>
  <ScaleCrop>false</ScaleCrop>
  <HeadingPairs>
    <vt:vector size="2" baseType="variant">
      <vt:variant>
        <vt:lpstr>Title</vt:lpstr>
      </vt:variant>
      <vt:variant>
        <vt:i4>1</vt:i4>
      </vt:variant>
    </vt:vector>
  </HeadingPairs>
  <TitlesOfParts>
    <vt:vector size="1" baseType="lpstr">
      <vt:lpstr>S3404 1R</vt:lpstr>
    </vt:vector>
  </TitlesOfParts>
  <Manager>R229</Manager>
  <Company>NJ Office of Legislative Services</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S3404 1R</dc:title>
  <dc:subject>Gopal 21-223</dc:subject>
  <dc:creator>Senators  GOPAL and LAGANA</dc:creator>
  <cp:keywords>S3404|3|RF |308|265|294|!||</cp:keywords>
  <dc:description>INTRODUCED FEBRUARY 4, 2021 _x000d_
Amended 12/6/21</dc:description>
  <cp:lastModifiedBy>Siracusa, Nicole</cp:lastModifiedBy>
  <cp:revision>2</cp:revision>
  <cp:lastPrinted>2021-12-22T14:47:00Z</cp:lastPrinted>
  <dcterms:created xsi:type="dcterms:W3CDTF">2021-12-22T14:47:00Z</dcterms:created>
  <dcterms:modified xsi:type="dcterms:W3CDTF">2021-12-22T14:47:00Z</dcterms:modified>
  <cp:category>s.1-2: T&amp;E  &amp; Notes to C.54:10A-4 and C.54A:5-1_x000d_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