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15C" w:rsidRDefault="000F015C" w:rsidP="000F015C">
      <w:pPr>
        <w:pStyle w:val="bpuReprint"/>
      </w:pPr>
      <w:bookmarkStart w:id="0" w:name="bpuFrontPg"/>
      <w:bookmarkEnd w:id="0"/>
      <w:r>
        <w:t>[First Reprint]</w:t>
      </w:r>
    </w:p>
    <w:p w:rsidR="008E76C0" w:rsidRDefault="008E76C0" w:rsidP="008E76C0">
      <w:pPr>
        <w:pStyle w:val="bpuBill"/>
      </w:pPr>
      <w:r>
        <w:t xml:space="preserve">SENATE, No. 3432 </w:t>
      </w:r>
    </w:p>
    <w:p w:rsidR="008E76C0" w:rsidRPr="009D38FF" w:rsidRDefault="008E76C0" w:rsidP="008E7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65525" r:id="rId7"/>
        </w:object>
      </w:r>
    </w:p>
    <w:p w:rsidR="008E76C0" w:rsidRDefault="008E76C0" w:rsidP="008E76C0">
      <w:pPr>
        <w:pStyle w:val="bpuState"/>
      </w:pPr>
      <w:r>
        <w:t>STATE OF NEW JERSEY</w:t>
      </w:r>
    </w:p>
    <w:p w:rsidR="008E76C0" w:rsidRDefault="008E76C0" w:rsidP="008E76C0">
      <w:pPr>
        <w:pStyle w:val="bpuLegislature"/>
      </w:pPr>
      <w:r>
        <w:t>219th LEGISLATURE</w:t>
      </w:r>
    </w:p>
    <w:p w:rsidR="008E76C0" w:rsidRDefault="008E76C0" w:rsidP="008E76C0">
      <w:pPr>
        <w:pStyle w:val="bpuWpGraphic"/>
      </w:pPr>
      <w:r>
        <w:object w:dxaOrig="8985" w:dyaOrig="255">
          <v:shape id="_x0000_i1026" type="#_x0000_t75" style="width:6in;height:11.8pt" o:ole="">
            <v:imagedata r:id="rId6" o:title=""/>
          </v:shape>
          <o:OLEObject Type="Embed" ProgID="WPWin6.1" ShapeID="_x0000_i1026" DrawAspect="Content" ObjectID="_1703065526" r:id="rId8"/>
        </w:object>
      </w:r>
      <w:r>
        <w:t xml:space="preserve">  </w:t>
      </w:r>
    </w:p>
    <w:p w:rsidR="008E76C0" w:rsidRDefault="00377D87" w:rsidP="008E76C0">
      <w:pPr>
        <w:pStyle w:val="bpuIntro"/>
      </w:pPr>
      <w:r>
        <w:t>INTRODUCED FE</w:t>
      </w:r>
      <w:r w:rsidR="008E76C0">
        <w:t>BRUARY 11, 2021</w:t>
      </w:r>
    </w:p>
    <w:p w:rsidR="008E76C0" w:rsidRDefault="008E76C0" w:rsidP="008E76C0">
      <w:pPr>
        <w:pStyle w:val="bpuIntro"/>
      </w:pPr>
    </w:p>
    <w:p w:rsidR="008E76C0" w:rsidRDefault="008E76C0" w:rsidP="008E76C0">
      <w:pPr>
        <w:pStyle w:val="bpuIntro"/>
        <w:sectPr w:rsidR="008E76C0" w:rsidSect="00540D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76C0" w:rsidRDefault="008E76C0" w:rsidP="008E76C0">
      <w:pPr>
        <w:pStyle w:val="bpuIntro"/>
      </w:pPr>
    </w:p>
    <w:p w:rsidR="008E76C0" w:rsidRDefault="008E76C0" w:rsidP="008E76C0">
      <w:pPr>
        <w:pStyle w:val="bpuSponsor"/>
      </w:pPr>
      <w:r>
        <w:t>Sponsored by:</w:t>
      </w:r>
    </w:p>
    <w:p w:rsidR="008E76C0" w:rsidRDefault="008E76C0" w:rsidP="008E76C0">
      <w:pPr>
        <w:pStyle w:val="bpuSponsor"/>
      </w:pPr>
      <w:r>
        <w:t>Senator  M. TERESA RUIZ</w:t>
      </w:r>
    </w:p>
    <w:p w:rsidR="008E76C0" w:rsidRDefault="008E76C0" w:rsidP="008E76C0">
      <w:pPr>
        <w:pStyle w:val="bpuSponsor"/>
      </w:pPr>
      <w:r>
        <w:t>District 29 (Essex)</w:t>
      </w:r>
    </w:p>
    <w:p w:rsidR="008E76C0" w:rsidRDefault="00540DCC" w:rsidP="00540DCC">
      <w:pPr>
        <w:pStyle w:val="bpuSponsor"/>
      </w:pPr>
      <w:r>
        <w:t>Senator  DECLAN J. O'SCANLON, JR.</w:t>
      </w:r>
    </w:p>
    <w:p w:rsidR="00540DCC" w:rsidRDefault="00540DCC" w:rsidP="00540DCC">
      <w:pPr>
        <w:pStyle w:val="bpuSponsor"/>
      </w:pPr>
      <w:r>
        <w:t>District 13 (Monmouth)</w:t>
      </w:r>
    </w:p>
    <w:p w:rsidR="00540DCC" w:rsidRPr="00540DCC" w:rsidRDefault="00540DCC" w:rsidP="00540DCC">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r>
        <w:t>SYNOPSIS</w:t>
      </w:r>
    </w:p>
    <w:p w:rsidR="000F015C" w:rsidRPr="002046ED" w:rsidRDefault="00377D87" w:rsidP="000F015C">
      <w:r>
        <w:tab/>
      </w:r>
      <w:r w:rsidR="000F015C">
        <w:t>Establishes requirements to screen certain people who are pregnant and who have given birth for preeclampsia.</w:t>
      </w:r>
    </w:p>
    <w:p w:rsidR="008E76C0" w:rsidRDefault="008E76C0" w:rsidP="008E76C0">
      <w:pPr>
        <w:pStyle w:val="bpuNormText"/>
      </w:pPr>
    </w:p>
    <w:p w:rsidR="008E76C0" w:rsidRDefault="008E76C0" w:rsidP="008E76C0">
      <w:pPr>
        <w:pStyle w:val="bpuSponsor"/>
      </w:pPr>
      <w:r>
        <w:t xml:space="preserve">CURRENT VERSION OF TEXT </w:t>
      </w:r>
    </w:p>
    <w:p w:rsidR="008E76C0" w:rsidRDefault="000F015C" w:rsidP="008E76C0">
      <w:pPr>
        <w:pStyle w:val="bpuNormText"/>
      </w:pPr>
      <w:r>
        <w:tab/>
        <w:t>As reported by the Senate Health, Human Services and Senior Citizens Committee on June 10, 2021, with amendments.</w:t>
      </w:r>
    </w:p>
    <w:p w:rsidR="008E76C0" w:rsidRDefault="008E76C0" w:rsidP="008E76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76C0" w:rsidRDefault="008E76C0" w:rsidP="008916EC">
      <w:pPr>
        <w:pStyle w:val="FronterPage"/>
        <w:tabs>
          <w:tab w:val="clear" w:pos="720"/>
          <w:tab w:val="clear" w:pos="1440"/>
          <w:tab w:val="clear" w:pos="2160"/>
          <w:tab w:val="clear" w:pos="2880"/>
          <w:tab w:val="clear" w:pos="3600"/>
          <w:tab w:val="clear" w:pos="4320"/>
          <w:tab w:val="clear" w:pos="5040"/>
        </w:tabs>
        <w:sectPr w:rsidR="008E76C0" w:rsidSect="008E76C0">
          <w:type w:val="continuous"/>
          <w:pgSz w:w="12240" w:h="20160" w:code="5"/>
          <w:pgMar w:top="1440" w:right="2275" w:bottom="1440" w:left="2275" w:header="72" w:footer="720" w:gutter="0"/>
          <w:pgNumType w:start="1"/>
          <w:cols w:space="720"/>
          <w:docGrid w:linePitch="360"/>
        </w:sectPr>
      </w:pPr>
    </w:p>
    <w:p w:rsidR="000F015C" w:rsidRPr="00677316" w:rsidRDefault="000F015C" w:rsidP="000F015C">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 xml:space="preserve">concerning preeclampsia </w:t>
      </w:r>
      <w:r>
        <w:rPr>
          <w:rStyle w:val="HangingAnActChar"/>
          <w:rFonts w:ascii="Albertus Extra Bold" w:hAnsi="Albertus Extra Bold"/>
          <w:b/>
          <w:vertAlign w:val="superscript"/>
        </w:rPr>
        <w:t>1</w:t>
      </w:r>
      <w:r w:rsidRPr="00301840">
        <w:rPr>
          <w:rStyle w:val="HangingAnActChar"/>
          <w:rFonts w:ascii="Albertus Extra Bold" w:hAnsi="Albertus Extra Bold"/>
          <w:b/>
        </w:rPr>
        <w:t>[</w:t>
      </w:r>
      <w:r>
        <w:rPr>
          <w:rStyle w:val="HangingAnActChar"/>
        </w:rPr>
        <w:t>testing for pregnant women</w:t>
      </w:r>
      <w:r w:rsidRPr="00301840">
        <w:rPr>
          <w:rStyle w:val="HangingAnActChar"/>
          <w:rFonts w:ascii="Albertus Extra Bold" w:hAnsi="Albertus Extra Bold"/>
          <w:b/>
        </w:rPr>
        <w:t>]</w:t>
      </w:r>
      <w:r>
        <w:rPr>
          <w:rStyle w:val="HangingAnActChar"/>
          <w:spacing w:val="0"/>
        </w:rPr>
        <w:t xml:space="preserve"> </w:t>
      </w:r>
      <w:r>
        <w:rPr>
          <w:rStyle w:val="HangingAnActChar"/>
          <w:spacing w:val="0"/>
          <w:u w:val="single"/>
        </w:rPr>
        <w:t>screenings</w:t>
      </w:r>
      <w:r>
        <w:rPr>
          <w:rStyle w:val="HangingAnActChar"/>
          <w:rFonts w:ascii="Albertus Extra Bold" w:hAnsi="Albertus Extra Bold"/>
          <w:b/>
          <w:vertAlign w:val="superscript"/>
        </w:rPr>
        <w:t>1</w:t>
      </w:r>
      <w:r>
        <w:rPr>
          <w:rStyle w:val="HangingAnActChar"/>
        </w:rPr>
        <w:t xml:space="preserve"> and supplementing Title 26 of the Revised Statutes.</w:t>
      </w:r>
    </w:p>
    <w:p w:rsidR="000B1054" w:rsidRPr="00D71D68" w:rsidRDefault="000B1054" w:rsidP="000B1054"/>
    <w:p w:rsidR="00686AEB" w:rsidRPr="00AA7880" w:rsidRDefault="00686AEB" w:rsidP="00686AEB">
      <w:r>
        <w:tab/>
      </w:r>
      <w:r w:rsidR="009C632F">
        <w:rPr>
          <w:rStyle w:val="BillHeading2"/>
        </w:rPr>
        <w:t>Be It Enacted</w:t>
      </w:r>
      <w:r>
        <w:rPr>
          <w:rStyle w:val="BillHeading2"/>
        </w:rPr>
        <w:t xml:space="preserve"> </w:t>
      </w:r>
      <w:r w:rsidR="009C632F">
        <w:rPr>
          <w:rStyle w:val="BillLanguage"/>
        </w:rPr>
        <w:t>by the Senate and General Assembly of the State of New Jersey:</w:t>
      </w:r>
    </w:p>
    <w:p w:rsidR="00686AEB" w:rsidRPr="00D71D68" w:rsidRDefault="00686AEB" w:rsidP="00686AEB"/>
    <w:p w:rsidR="000F015C" w:rsidRDefault="000F015C" w:rsidP="000F015C">
      <w:r>
        <w:tab/>
        <w:t>1.</w:t>
      </w:r>
      <w:r>
        <w:tab/>
        <w:t xml:space="preserve">a.  The Commissioner of Health shall require every hospital </w:t>
      </w:r>
      <w:r>
        <w:rPr>
          <w:rFonts w:ascii="Albertus Extra Bold" w:hAnsi="Albertus Extra Bold"/>
          <w:vertAlign w:val="superscript"/>
        </w:rPr>
        <w:t>1</w:t>
      </w:r>
      <w:r>
        <w:rPr>
          <w:rFonts w:ascii="Albertus Extra Bold" w:hAnsi="Albertus Extra Bold"/>
        </w:rPr>
        <w:t>[</w:t>
      </w:r>
      <w:r>
        <w:t xml:space="preserve">that provides </w:t>
      </w:r>
      <w:r w:rsidRPr="000A2971">
        <w:t>inpatient maternity services</w:t>
      </w:r>
      <w:r>
        <w:rPr>
          <w:rFonts w:ascii="Albertus Extra Bold" w:hAnsi="Albertus Extra Bold"/>
        </w:rPr>
        <w:t>]</w:t>
      </w:r>
      <w:r>
        <w:rPr>
          <w:rFonts w:ascii="Albertus Extra Bold" w:hAnsi="Albertus Extra Bold"/>
          <w:vertAlign w:val="superscript"/>
        </w:rPr>
        <w:t>1</w:t>
      </w:r>
      <w:r>
        <w:t xml:space="preserve"> in the State, every </w:t>
      </w:r>
      <w:r w:rsidRPr="000A2971">
        <w:t>birthing center licensed in the State pursuant to P.L.1971, c.136 (C.26:2H-1 et seq.)</w:t>
      </w:r>
      <w:r>
        <w:t xml:space="preserve">, </w:t>
      </w:r>
      <w:r w:rsidRPr="00970113">
        <w:rPr>
          <w:rFonts w:ascii="Albertus Extra Bold" w:hAnsi="Albertus Extra Bold"/>
          <w:vertAlign w:val="superscript"/>
        </w:rPr>
        <w:t>1</w:t>
      </w:r>
      <w:r>
        <w:rPr>
          <w:u w:val="single"/>
        </w:rPr>
        <w:t>every federally qualified health center, and</w:t>
      </w:r>
      <w:r>
        <w:t xml:space="preserve"> </w:t>
      </w:r>
      <w:r>
        <w:rPr>
          <w:rFonts w:ascii="Albertus Extra Bold" w:hAnsi="Albertus Extra Bold"/>
        </w:rPr>
        <w:t>[</w:t>
      </w:r>
      <w:r>
        <w:t>or</w:t>
      </w:r>
      <w:r>
        <w:rPr>
          <w:rFonts w:ascii="Albertus Extra Bold" w:hAnsi="Albertus Extra Bold"/>
        </w:rPr>
        <w:t>]</w:t>
      </w:r>
      <w:r w:rsidRPr="00970113">
        <w:rPr>
          <w:rFonts w:ascii="Albertus Extra Bold" w:hAnsi="Albertus Extra Bold"/>
          <w:b/>
          <w:bCs/>
          <w:vertAlign w:val="superscript"/>
        </w:rPr>
        <w:t>1</w:t>
      </w:r>
      <w:r>
        <w:t xml:space="preserve"> every physician or health care practitioner in the State providing care to a pregnant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or a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who has given birth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w:t>
      </w:r>
      <w:r>
        <w:rPr>
          <w:rFonts w:ascii="Albertus Extra Bold" w:hAnsi="Albertus Extra Bold"/>
          <w:vertAlign w:val="superscript"/>
        </w:rPr>
        <w:t>1</w:t>
      </w:r>
      <w:r>
        <w:rPr>
          <w:rFonts w:ascii="Albertus Extra Bold" w:hAnsi="Albertus Extra Bold"/>
        </w:rPr>
        <w:t>[</w:t>
      </w:r>
      <w:r>
        <w:t>administer to the woman a test</w:t>
      </w:r>
      <w:r>
        <w:rPr>
          <w:rFonts w:ascii="Albertus Extra Bold" w:hAnsi="Albertus Extra Bold"/>
        </w:rPr>
        <w:t>]</w:t>
      </w:r>
      <w:r>
        <w:t xml:space="preserve"> </w:t>
      </w:r>
      <w:r>
        <w:rPr>
          <w:u w:val="single"/>
        </w:rPr>
        <w:t>screen the person</w:t>
      </w:r>
      <w:r>
        <w:rPr>
          <w:rFonts w:ascii="Albertus Extra Bold" w:hAnsi="Albertus Extra Bold"/>
          <w:b/>
          <w:vertAlign w:val="superscript"/>
        </w:rPr>
        <w:t>1</w:t>
      </w:r>
      <w:r>
        <w:t xml:space="preserve"> for preeclampsia </w:t>
      </w:r>
      <w:r>
        <w:rPr>
          <w:rFonts w:ascii="Albertus Extra Bold" w:hAnsi="Albertus Extra Bold"/>
          <w:b/>
          <w:vertAlign w:val="superscript"/>
        </w:rPr>
        <w:t>1</w:t>
      </w:r>
      <w:r w:rsidRPr="00A57B38">
        <w:rPr>
          <w:rFonts w:ascii="Albertus Extra Bold" w:hAnsi="Albertus Extra Bold"/>
          <w:b/>
        </w:rPr>
        <w:t>[</w:t>
      </w:r>
      <w:r>
        <w:t>, if the woman</w:t>
      </w:r>
      <w:r w:rsidRPr="00A57B38">
        <w:rPr>
          <w:rFonts w:ascii="Albertus Extra Bold" w:hAnsi="Albertus Extra Bold"/>
          <w:b/>
        </w:rPr>
        <w:t>]</w:t>
      </w:r>
      <w:r>
        <w:t xml:space="preserve"> </w:t>
      </w:r>
      <w:r>
        <w:rPr>
          <w:u w:val="single"/>
        </w:rPr>
        <w:t>if the person</w:t>
      </w:r>
      <w:r>
        <w:rPr>
          <w:rFonts w:ascii="Albertus Extra Bold" w:hAnsi="Albertus Extra Bold"/>
          <w:b/>
          <w:vertAlign w:val="superscript"/>
        </w:rPr>
        <w:t>1</w:t>
      </w:r>
      <w:r>
        <w:t xml:space="preserve"> shows symptoms of the condition.  </w:t>
      </w:r>
      <w:r>
        <w:rPr>
          <w:rFonts w:ascii="Albertus Extra Bold" w:hAnsi="Albertus Extra Bold"/>
          <w:vertAlign w:val="superscript"/>
        </w:rPr>
        <w:t>1</w:t>
      </w:r>
      <w:r>
        <w:rPr>
          <w:rFonts w:ascii="Albertus Extra Bold" w:hAnsi="Albertus Extra Bold"/>
        </w:rPr>
        <w:t>[</w:t>
      </w:r>
      <w:r>
        <w:t>The test shall include, but not be limited to, blood tests, ultrasonography, and non-stress tests that monitor a baby’s health</w:t>
      </w:r>
      <w:r>
        <w:rPr>
          <w:rFonts w:ascii="Albertus Extra Bold" w:hAnsi="Albertus Extra Bold"/>
        </w:rPr>
        <w:t>]</w:t>
      </w:r>
      <w:r>
        <w:t xml:space="preserve"> </w:t>
      </w:r>
      <w:r>
        <w:rPr>
          <w:u w:val="single"/>
        </w:rPr>
        <w:t>Screening tools shall be based on industry best practices and guidance, as determined by the American College of Obstetricians and Gynecologists, the Preeclampsia Foundation, or another nationally-recognized body as may be designated by the commissioner</w:t>
      </w:r>
      <w:r>
        <w:rPr>
          <w:rFonts w:ascii="Albertus Extra Bold" w:hAnsi="Albertus Extra Bold"/>
          <w:vertAlign w:val="superscript"/>
        </w:rPr>
        <w:t xml:space="preserve">1 </w:t>
      </w:r>
      <w:r>
        <w:t>.</w:t>
      </w:r>
    </w:p>
    <w:p w:rsidR="000F015C" w:rsidRDefault="000F015C" w:rsidP="000F015C">
      <w:r>
        <w:tab/>
        <w:t>b.</w:t>
      </w:r>
      <w:r>
        <w:tab/>
        <w:t xml:space="preserve">A </w:t>
      </w:r>
      <w:r w:rsidRPr="00CA2770">
        <w:t>hospital that provides inpatient maternity services</w:t>
      </w:r>
      <w:r>
        <w:t xml:space="preserve"> </w:t>
      </w:r>
      <w:r>
        <w:rPr>
          <w:rFonts w:ascii="Albertus Extra Bold" w:hAnsi="Albertus Extra Bold"/>
          <w:vertAlign w:val="superscript"/>
        </w:rPr>
        <w:t>1</w:t>
      </w:r>
      <w:r>
        <w:rPr>
          <w:rFonts w:ascii="Albertus Extra Bold" w:hAnsi="Albertus Extra Bold"/>
        </w:rPr>
        <w:t>[</w:t>
      </w:r>
      <w:r>
        <w:t>or</w:t>
      </w:r>
      <w:r>
        <w:rPr>
          <w:rFonts w:ascii="Albertus Extra Bold" w:hAnsi="Albertus Extra Bold"/>
        </w:rPr>
        <w:t>]</w:t>
      </w:r>
      <w:r>
        <w:rPr>
          <w:u w:val="single"/>
        </w:rPr>
        <w:t>, a</w:t>
      </w:r>
      <w:r>
        <w:rPr>
          <w:rFonts w:ascii="Albertus Extra Bold" w:hAnsi="Albertus Extra Bold"/>
          <w:vertAlign w:val="superscript"/>
        </w:rPr>
        <w:t>1</w:t>
      </w:r>
      <w:r w:rsidRPr="00F13598">
        <w:t xml:space="preserve"> </w:t>
      </w:r>
      <w:r>
        <w:t xml:space="preserve">licensed </w:t>
      </w:r>
      <w:r w:rsidRPr="00CA2770">
        <w:t>birthing center</w:t>
      </w:r>
      <w:r>
        <w:t xml:space="preserve"> </w:t>
      </w:r>
      <w:r>
        <w:rPr>
          <w:rFonts w:ascii="Albertus Extra Bold" w:hAnsi="Albertus Extra Bold"/>
          <w:vertAlign w:val="superscript"/>
        </w:rPr>
        <w:t>1</w:t>
      </w:r>
      <w:r>
        <w:rPr>
          <w:u w:val="single"/>
        </w:rPr>
        <w:t>, or a federally qualified health center</w:t>
      </w:r>
      <w:r>
        <w:rPr>
          <w:rFonts w:ascii="Albertus Extra Bold" w:hAnsi="Albertus Extra Bold"/>
          <w:vertAlign w:val="superscript"/>
        </w:rPr>
        <w:t>1</w:t>
      </w:r>
      <w:r>
        <w:t xml:space="preserve"> providing care to,</w:t>
      </w:r>
      <w:r w:rsidRPr="00CA2770">
        <w:t xml:space="preserve"> </w:t>
      </w:r>
      <w:r>
        <w:t xml:space="preserve">or a physician or other health care practitioner who is the primary caregiver for, a pregnant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or a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who seeks treatment within </w:t>
      </w:r>
      <w:r>
        <w:rPr>
          <w:rFonts w:ascii="Albertus Extra Bold" w:hAnsi="Albertus Extra Bold"/>
          <w:b/>
          <w:vertAlign w:val="superscript"/>
        </w:rPr>
        <w:t>1</w:t>
      </w:r>
      <w:r w:rsidRPr="00251029">
        <w:rPr>
          <w:rFonts w:ascii="Albertus Extra Bold" w:hAnsi="Albertus Extra Bold"/>
          <w:b/>
        </w:rPr>
        <w:t>[</w:t>
      </w:r>
      <w:r>
        <w:t>four</w:t>
      </w:r>
      <w:r w:rsidRPr="00251029">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weeks of giving birth, shall, in accordance with guidelines developed by the commissioner:</w:t>
      </w:r>
    </w:p>
    <w:p w:rsidR="000F015C" w:rsidRDefault="000F015C" w:rsidP="000F015C">
      <w:r>
        <w:tab/>
        <w:t>(1)</w:t>
      </w:r>
      <w:r>
        <w:tab/>
        <w:t xml:space="preserve">provide the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with information on preeclampsia </w:t>
      </w:r>
      <w:r>
        <w:rPr>
          <w:rFonts w:ascii="Albertus Extra Bold" w:hAnsi="Albertus Extra Bold"/>
          <w:vertAlign w:val="superscript"/>
        </w:rPr>
        <w:t>1</w:t>
      </w:r>
      <w:r>
        <w:rPr>
          <w:u w:val="single"/>
        </w:rPr>
        <w:t>and potential warning signs and symptoms</w:t>
      </w:r>
      <w:r>
        <w:rPr>
          <w:rFonts w:ascii="Albertus Extra Bold" w:hAnsi="Albertus Extra Bold"/>
          <w:vertAlign w:val="superscript"/>
        </w:rPr>
        <w:t>1</w:t>
      </w:r>
      <w:r>
        <w:t>;</w:t>
      </w:r>
    </w:p>
    <w:p w:rsidR="000F015C" w:rsidRPr="00C7746C" w:rsidRDefault="000F015C" w:rsidP="000F015C">
      <w:pPr>
        <w:rPr>
          <w:rFonts w:ascii="Albertus Extra Bold" w:hAnsi="Albertus Extra Bold"/>
          <w:b/>
          <w:vertAlign w:val="superscript"/>
        </w:rPr>
      </w:pPr>
      <w:r>
        <w:tab/>
        <w:t>(2)</w:t>
      </w:r>
      <w:r>
        <w:tab/>
        <w:t xml:space="preserve">inform the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of the 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rsidRPr="002911F5">
        <w:t xml:space="preserve"> </w:t>
      </w:r>
      <w:r>
        <w:t xml:space="preserve">for preeclampsia if </w:t>
      </w:r>
      <w:r>
        <w:rPr>
          <w:rFonts w:ascii="Albertus Extra Bold" w:hAnsi="Albertus Extra Bold"/>
          <w:b/>
          <w:vertAlign w:val="superscript"/>
        </w:rPr>
        <w:t>1</w:t>
      </w:r>
      <w:r w:rsidRPr="00076961">
        <w:rPr>
          <w:rFonts w:ascii="Albertus Extra Bold" w:hAnsi="Albertus Extra Bold"/>
          <w:b/>
        </w:rPr>
        <w:t>[</w:t>
      </w:r>
      <w:r>
        <w:t>she</w:t>
      </w:r>
      <w:r w:rsidRPr="00076961">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shows symptoms of the condition, and that </w:t>
      </w:r>
      <w:r>
        <w:rPr>
          <w:rFonts w:ascii="Albertus Extra Bold" w:hAnsi="Albertus Extra Bold"/>
          <w:b/>
          <w:vertAlign w:val="superscript"/>
        </w:rPr>
        <w:t>1</w:t>
      </w:r>
      <w:r w:rsidRPr="00076961">
        <w:rPr>
          <w:rFonts w:ascii="Albertus Extra Bold" w:hAnsi="Albertus Extra Bold"/>
          <w:b/>
        </w:rPr>
        <w:t>[</w:t>
      </w:r>
      <w:r>
        <w:t>she</w:t>
      </w:r>
      <w:r w:rsidRPr="00076961">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is required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 unless </w:t>
      </w:r>
      <w:r>
        <w:rPr>
          <w:rFonts w:ascii="Albertus Extra Bold" w:hAnsi="Albertus Extra Bold"/>
          <w:b/>
          <w:vertAlign w:val="superscript"/>
        </w:rPr>
        <w:t>1</w:t>
      </w:r>
      <w:r w:rsidRPr="00076961">
        <w:rPr>
          <w:rFonts w:ascii="Albertus Extra Bold" w:hAnsi="Albertus Extra Bold"/>
          <w:b/>
        </w:rPr>
        <w:t>[</w:t>
      </w:r>
      <w:r>
        <w:t>she indicates in writing her</w:t>
      </w:r>
      <w:r w:rsidRPr="00076961">
        <w:rPr>
          <w:rFonts w:ascii="Albertus Extra Bold" w:hAnsi="Albertus Extra Bold"/>
          <w:b/>
        </w:rPr>
        <w:t>]</w:t>
      </w:r>
      <w:r>
        <w:t xml:space="preserve"> </w:t>
      </w:r>
      <w:r>
        <w:rPr>
          <w:u w:val="single"/>
        </w:rPr>
        <w:t>the person issues a written</w:t>
      </w:r>
      <w:r>
        <w:rPr>
          <w:rFonts w:ascii="Albertus Extra Bold" w:hAnsi="Albertus Extra Bold"/>
          <w:b/>
          <w:vertAlign w:val="superscript"/>
        </w:rPr>
        <w:t>1</w:t>
      </w:r>
      <w:r>
        <w:t xml:space="preserve"> refusal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 which refusal shall be provided</w:t>
      </w:r>
      <w:r>
        <w:rPr>
          <w:rFonts w:ascii="Albertus Extra Bold" w:hAnsi="Albertus Extra Bold"/>
          <w:b/>
          <w:vertAlign w:val="superscript"/>
        </w:rPr>
        <w:t>1</w:t>
      </w:r>
      <w:r>
        <w:t xml:space="preserve"> on a form and in a manner prescribed by the commissioner </w:t>
      </w:r>
      <w:r>
        <w:rPr>
          <w:rFonts w:ascii="Albertus Extra Bold" w:hAnsi="Albertus Extra Bold"/>
          <w:b/>
          <w:vertAlign w:val="superscript"/>
        </w:rPr>
        <w:t>1</w:t>
      </w:r>
      <w:r>
        <w:rPr>
          <w:u w:val="single"/>
        </w:rPr>
        <w:t>consistent with the provisions of subsection c. of this section</w:t>
      </w:r>
      <w:r>
        <w:rPr>
          <w:rFonts w:ascii="Albertus Extra Bold" w:hAnsi="Albertus Extra Bold"/>
          <w:b/>
          <w:vertAlign w:val="superscript"/>
        </w:rPr>
        <w:t>1</w:t>
      </w:r>
      <w:r>
        <w:t xml:space="preserve"> ; </w:t>
      </w:r>
      <w:r>
        <w:rPr>
          <w:rFonts w:ascii="Albertus Extra Bold" w:hAnsi="Albertus Extra Bold"/>
          <w:b/>
          <w:vertAlign w:val="superscript"/>
        </w:rPr>
        <w:t>1</w:t>
      </w:r>
      <w:r w:rsidRPr="00C7746C">
        <w:rPr>
          <w:rFonts w:ascii="Albertus Extra Bold" w:hAnsi="Albertus Extra Bold"/>
          <w:b/>
        </w:rPr>
        <w:t>[</w:t>
      </w:r>
      <w:r>
        <w:t>and</w:t>
      </w:r>
      <w:r w:rsidRPr="00C7746C">
        <w:rPr>
          <w:rFonts w:ascii="Albertus Extra Bold" w:hAnsi="Albertus Extra Bold"/>
          <w:b/>
        </w:rPr>
        <w:t>]</w:t>
      </w:r>
      <w:r>
        <w:rPr>
          <w:rFonts w:ascii="Albertus Extra Bold" w:hAnsi="Albertus Extra Bold"/>
          <w:b/>
          <w:vertAlign w:val="superscript"/>
        </w:rPr>
        <w:t>1</w:t>
      </w:r>
    </w:p>
    <w:p w:rsidR="000F015C" w:rsidRDefault="000F015C" w:rsidP="000F015C">
      <w:r>
        <w:tab/>
        <w:t>(3)</w:t>
      </w:r>
      <w:r>
        <w:tab/>
      </w:r>
      <w:r>
        <w:rPr>
          <w:rFonts w:ascii="Albertus Extra Bold" w:hAnsi="Albertus Extra Bold"/>
          <w:vertAlign w:val="superscript"/>
        </w:rPr>
        <w:t>1</w:t>
      </w:r>
      <w:r>
        <w:rPr>
          <w:rFonts w:ascii="Albertus Extra Bold" w:hAnsi="Albertus Extra Bold"/>
        </w:rPr>
        <w:t>[</w:t>
      </w:r>
      <w:r>
        <w:t>test</w:t>
      </w:r>
      <w:r>
        <w:rPr>
          <w:rFonts w:ascii="Albertus Extra Bold" w:hAnsi="Albertus Extra Bold"/>
        </w:rPr>
        <w:t>]</w:t>
      </w:r>
      <w:r>
        <w:t xml:space="preserve"> </w:t>
      </w:r>
      <w:r>
        <w:rPr>
          <w:u w:val="single"/>
        </w:rPr>
        <w:t>screen</w:t>
      </w:r>
      <w:r>
        <w:rPr>
          <w:rFonts w:ascii="Albertus Extra Bold" w:hAnsi="Albertus Extra Bold"/>
          <w:vertAlign w:val="superscript"/>
        </w:rPr>
        <w:t>1</w:t>
      </w:r>
      <w:r>
        <w:t xml:space="preserve"> the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for preeclampsia unless </w:t>
      </w:r>
      <w:r>
        <w:rPr>
          <w:rFonts w:ascii="Albertus Extra Bold" w:hAnsi="Albertus Extra Bold"/>
          <w:b/>
          <w:vertAlign w:val="superscript"/>
        </w:rPr>
        <w:t>1</w:t>
      </w:r>
      <w:r w:rsidRPr="00076961">
        <w:rPr>
          <w:rFonts w:ascii="Albertus Extra Bold" w:hAnsi="Albertus Extra Bold"/>
          <w:b/>
        </w:rPr>
        <w:t>[</w:t>
      </w:r>
      <w:r>
        <w:t>she indicates her</w:t>
      </w:r>
      <w:r w:rsidRPr="00EF5F5C">
        <w:rPr>
          <w:rFonts w:ascii="Albertus Extra Bold" w:hAnsi="Albertus Extra Bold"/>
          <w:b/>
        </w:rPr>
        <w:t>]</w:t>
      </w:r>
      <w:r>
        <w:t xml:space="preserve"> </w:t>
      </w:r>
      <w:r>
        <w:rPr>
          <w:u w:val="single"/>
        </w:rPr>
        <w:t>the person provides</w:t>
      </w:r>
      <w:r>
        <w:rPr>
          <w:rFonts w:ascii="Albertus Extra Bold" w:hAnsi="Albertus Extra Bold"/>
          <w:b/>
          <w:vertAlign w:val="superscript"/>
        </w:rPr>
        <w:t>1</w:t>
      </w:r>
      <w:r>
        <w:t xml:space="preserve"> written refusal as </w:t>
      </w:r>
      <w:r>
        <w:rPr>
          <w:rFonts w:ascii="Albertus Extra Bold" w:hAnsi="Albertus Extra Bold"/>
          <w:b/>
          <w:vertAlign w:val="superscript"/>
        </w:rPr>
        <w:t>1</w:t>
      </w:r>
      <w:r w:rsidRPr="0051436B">
        <w:rPr>
          <w:rFonts w:ascii="Albertus Extra Bold" w:hAnsi="Albertus Extra Bold"/>
          <w:b/>
        </w:rPr>
        <w:t>[</w:t>
      </w:r>
      <w:r>
        <w:t>hereinabove</w:t>
      </w:r>
      <w:r w:rsidRPr="0051436B">
        <w:rPr>
          <w:rFonts w:ascii="Albertus Extra Bold" w:hAnsi="Albertus Extra Bold"/>
          <w:b/>
        </w:rPr>
        <w:t>]</w:t>
      </w:r>
      <w:r>
        <w:rPr>
          <w:rFonts w:ascii="Albertus Extra Bold" w:hAnsi="Albertus Extra Bold"/>
          <w:b/>
          <w:vertAlign w:val="superscript"/>
        </w:rPr>
        <w:t>1</w:t>
      </w:r>
      <w:r>
        <w:t xml:space="preserve"> provided </w:t>
      </w:r>
      <w:r>
        <w:rPr>
          <w:rFonts w:ascii="Albertus Extra Bold" w:hAnsi="Albertus Extra Bold"/>
          <w:b/>
          <w:vertAlign w:val="superscript"/>
        </w:rPr>
        <w:t>1</w:t>
      </w:r>
      <w:r>
        <w:rPr>
          <w:u w:val="single"/>
        </w:rPr>
        <w:t>in paragraph (2) of this subsection</w:t>
      </w:r>
      <w:r>
        <w:rPr>
          <w:rFonts w:ascii="Albertus Extra Bold" w:hAnsi="Albertus Extra Bold"/>
          <w:b/>
          <w:vertAlign w:val="superscript"/>
        </w:rPr>
        <w:t>1</w:t>
      </w:r>
      <w:r>
        <w:t xml:space="preserve"> .  The </w:t>
      </w:r>
      <w:r>
        <w:rPr>
          <w:rFonts w:ascii="Albertus Extra Bold" w:hAnsi="Albertus Extra Bold"/>
          <w:b/>
          <w:vertAlign w:val="superscript"/>
        </w:rPr>
        <w:t>1</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1</w:t>
      </w:r>
      <w:r>
        <w:t xml:space="preserve"> shall, on the </w:t>
      </w:r>
      <w:r>
        <w:rPr>
          <w:rFonts w:ascii="Albertus Extra Bold" w:hAnsi="Albertus Extra Bold"/>
          <w:b/>
          <w:vertAlign w:val="superscript"/>
        </w:rPr>
        <w:t>1</w:t>
      </w:r>
      <w:r w:rsidRPr="0051436B">
        <w:rPr>
          <w:rFonts w:ascii="Albertus Extra Bold" w:hAnsi="Albertus Extra Bold"/>
          <w:b/>
        </w:rPr>
        <w:t>[</w:t>
      </w:r>
      <w:r>
        <w:t>same</w:t>
      </w:r>
      <w:r w:rsidRPr="0051436B">
        <w:rPr>
          <w:rFonts w:ascii="Albertus Extra Bold" w:hAnsi="Albertus Extra Bold"/>
          <w:b/>
        </w:rPr>
        <w:t>]</w:t>
      </w:r>
      <w:r>
        <w:rPr>
          <w:rFonts w:ascii="Albertus Extra Bold" w:hAnsi="Albertus Extra Bold"/>
          <w:b/>
          <w:vertAlign w:val="superscript"/>
        </w:rPr>
        <w:t>1</w:t>
      </w:r>
      <w:r>
        <w:t xml:space="preserve"> form and in a manner prescribed by the commissioner </w:t>
      </w:r>
      <w:r>
        <w:rPr>
          <w:rFonts w:ascii="Albertus Extra Bold" w:hAnsi="Albertus Extra Bold"/>
          <w:b/>
          <w:vertAlign w:val="superscript"/>
        </w:rPr>
        <w:t>1</w:t>
      </w:r>
      <w:r>
        <w:rPr>
          <w:u w:val="single"/>
        </w:rPr>
        <w:t>consistent with subsection c. of this section</w:t>
      </w:r>
      <w:r>
        <w:rPr>
          <w:rFonts w:ascii="Albertus Extra Bold" w:hAnsi="Albertus Extra Bold"/>
          <w:b/>
          <w:vertAlign w:val="superscript"/>
        </w:rPr>
        <w:t>1</w:t>
      </w:r>
      <w:r>
        <w:t xml:space="preserve"> , acknowledge receipt of the information provided by the hospital, birthing center, </w:t>
      </w:r>
      <w:r>
        <w:rPr>
          <w:rFonts w:ascii="Albertus Extra Bold" w:hAnsi="Albertus Extra Bold"/>
          <w:b/>
          <w:vertAlign w:val="superscript"/>
        </w:rPr>
        <w:t>1</w:t>
      </w:r>
      <w:r>
        <w:rPr>
          <w:u w:val="single"/>
        </w:rPr>
        <w:t>federally qualified health center,</w:t>
      </w:r>
      <w:r>
        <w:rPr>
          <w:rFonts w:ascii="Albertus Extra Bold" w:hAnsi="Albertus Extra Bold"/>
          <w:b/>
          <w:vertAlign w:val="superscript"/>
        </w:rPr>
        <w:t>1</w:t>
      </w:r>
      <w:r>
        <w:t xml:space="preserve"> physician, or health care practitioner, as applicable, regarding the </w:t>
      </w:r>
      <w:bookmarkStart w:id="1" w:name="_GoBack"/>
      <w:bookmarkEnd w:id="1"/>
      <w:r>
        <w:t xml:space="preserve">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 </w:t>
      </w:r>
      <w:r>
        <w:rPr>
          <w:rFonts w:ascii="Albertus Extra Bold" w:hAnsi="Albertus Extra Bold"/>
          <w:b/>
          <w:vertAlign w:val="superscript"/>
        </w:rPr>
        <w:t>1</w:t>
      </w:r>
      <w:r>
        <w:rPr>
          <w:u w:val="single"/>
        </w:rPr>
        <w:t>; and</w:t>
      </w:r>
    </w:p>
    <w:p w:rsidR="000F015C" w:rsidRDefault="000F015C" w:rsidP="000F015C">
      <w:r>
        <w:tab/>
      </w:r>
      <w:r>
        <w:rPr>
          <w:u w:val="single"/>
        </w:rPr>
        <w:t>(4)</w:t>
      </w:r>
      <w:r>
        <w:rPr>
          <w:u w:val="single"/>
        </w:rPr>
        <w:tab/>
        <w:t>encourage the person to routinely engage in home blood pressure monitoring</w:t>
      </w:r>
      <w:r>
        <w:rPr>
          <w:rFonts w:ascii="Albertus Extra Bold" w:hAnsi="Albertus Extra Bold"/>
          <w:b/>
          <w:vertAlign w:val="superscript"/>
        </w:rPr>
        <w:t>1</w:t>
      </w:r>
      <w:r>
        <w:t xml:space="preserve"> .</w:t>
      </w:r>
    </w:p>
    <w:p w:rsidR="000F015C" w:rsidRPr="0051436B" w:rsidRDefault="000F015C" w:rsidP="000F015C">
      <w:pPr>
        <w:rPr>
          <w:rFonts w:ascii="Albertus Extra Bold" w:hAnsi="Albertus Extra Bold"/>
          <w:b/>
          <w:u w:val="single"/>
          <w:vertAlign w:val="superscript"/>
        </w:rPr>
      </w:pPr>
      <w:r>
        <w:tab/>
        <w:t>c.</w:t>
      </w:r>
      <w:r>
        <w:tab/>
      </w:r>
      <w:r>
        <w:rPr>
          <w:rFonts w:ascii="Albertus Extra Bold" w:hAnsi="Albertus Extra Bold"/>
          <w:b/>
          <w:vertAlign w:val="superscript"/>
        </w:rPr>
        <w:t>1</w:t>
      </w:r>
      <w:r>
        <w:rPr>
          <w:u w:val="single"/>
        </w:rPr>
        <w:t>The commissioner shall develop a standardized form to be used for the purposes of providing the acknowledgement required pursuant to paragraph (3) of subsection b. of this section, which may also be used to provide written refusal to undergo a screening for preeclampsia pursuant to paragraph (2) of subsection b. of this section, if applicable.</w:t>
      </w:r>
    </w:p>
    <w:p w:rsidR="000F015C" w:rsidRDefault="000F015C" w:rsidP="000F015C">
      <w:r>
        <w:tab/>
      </w:r>
      <w:r>
        <w:rPr>
          <w:u w:val="single"/>
        </w:rPr>
        <w:t>d.</w:t>
      </w:r>
      <w:r>
        <w:rPr>
          <w:rFonts w:ascii="Albertus Extra Bold" w:hAnsi="Albertus Extra Bold"/>
          <w:b/>
          <w:vertAlign w:val="superscript"/>
        </w:rPr>
        <w:t>1</w:t>
      </w:r>
      <w:r>
        <w:t xml:space="preserve">  Upon receipt of the results of </w:t>
      </w:r>
      <w:r>
        <w:rPr>
          <w:rFonts w:ascii="Albertus Extra Bold" w:hAnsi="Albertus Extra Bold"/>
          <w:vertAlign w:val="superscript"/>
        </w:rPr>
        <w:t>1</w:t>
      </w:r>
      <w:r>
        <w:rPr>
          <w:rFonts w:ascii="Albertus Extra Bold" w:hAnsi="Albertus Extra Bold"/>
        </w:rPr>
        <w:t>[</w:t>
      </w:r>
      <w:r>
        <w:t>the test</w:t>
      </w:r>
      <w:r>
        <w:rPr>
          <w:rFonts w:ascii="Albertus Extra Bold" w:hAnsi="Albertus Extra Bold"/>
        </w:rPr>
        <w:t>]</w:t>
      </w:r>
      <w:r>
        <w:t xml:space="preserve"> </w:t>
      </w:r>
      <w:r>
        <w:rPr>
          <w:u w:val="single"/>
        </w:rPr>
        <w:t>any screening</w:t>
      </w:r>
      <w:r>
        <w:rPr>
          <w:rFonts w:ascii="Albertus Extra Bold" w:hAnsi="Albertus Extra Bold"/>
          <w:vertAlign w:val="superscript"/>
        </w:rPr>
        <w:t>1</w:t>
      </w:r>
      <w:r>
        <w:t xml:space="preserve"> </w:t>
      </w:r>
      <w:r w:rsidRPr="00744F81">
        <w:t>conducted</w:t>
      </w:r>
      <w:r>
        <w:t xml:space="preserve"> pursuant to subsection a. of this section, the </w:t>
      </w:r>
      <w:r w:rsidRPr="004A2342">
        <w:t xml:space="preserve">hospital </w:t>
      </w:r>
      <w:r>
        <w:rPr>
          <w:rFonts w:ascii="Albertus Extra Bold" w:hAnsi="Albertus Extra Bold"/>
          <w:b/>
          <w:vertAlign w:val="superscript"/>
        </w:rPr>
        <w:t>1</w:t>
      </w:r>
      <w:r w:rsidRPr="00FD5C2A">
        <w:rPr>
          <w:rFonts w:ascii="Albertus Extra Bold" w:hAnsi="Albertus Extra Bold"/>
          <w:b/>
        </w:rPr>
        <w:t>[</w:t>
      </w:r>
      <w:r>
        <w:t>that</w:t>
      </w:r>
      <w:r w:rsidRPr="004A2342">
        <w:t xml:space="preserve"> provides inpatient maternity services</w:t>
      </w:r>
      <w:r w:rsidRPr="00FD5C2A">
        <w:rPr>
          <w:rFonts w:ascii="Albertus Extra Bold" w:hAnsi="Albertus Extra Bold"/>
          <w:b/>
        </w:rPr>
        <w:t>]</w:t>
      </w:r>
      <w:r>
        <w:rPr>
          <w:rFonts w:ascii="Albertus Extra Bold" w:hAnsi="Albertus Extra Bold"/>
          <w:b/>
          <w:vertAlign w:val="superscript"/>
        </w:rPr>
        <w:t>1</w:t>
      </w:r>
      <w:r>
        <w:t xml:space="preserve"> , licensed birthing center, </w:t>
      </w:r>
      <w:r>
        <w:rPr>
          <w:rFonts w:ascii="Albertus Extra Bold" w:hAnsi="Albertus Extra Bold"/>
          <w:b/>
          <w:vertAlign w:val="superscript"/>
        </w:rPr>
        <w:t>1</w:t>
      </w:r>
      <w:r w:rsidRPr="00C224B5">
        <w:rPr>
          <w:u w:val="single"/>
        </w:rPr>
        <w:t>federally qualified health</w:t>
      </w:r>
      <w:r>
        <w:rPr>
          <w:u w:val="single"/>
        </w:rPr>
        <w:t xml:space="preserve"> center,</w:t>
      </w:r>
      <w:r w:rsidRPr="007E484E">
        <w:rPr>
          <w:rFonts w:ascii="Albertus Extra Bold" w:hAnsi="Albertus Extra Bold"/>
          <w:b/>
          <w:vertAlign w:val="superscript"/>
        </w:rPr>
        <w:t>1</w:t>
      </w:r>
      <w:r>
        <w:t xml:space="preserve"> or </w:t>
      </w:r>
      <w:r w:rsidRPr="004A2342">
        <w:t>physician</w:t>
      </w:r>
      <w:r>
        <w:t xml:space="preserve"> or</w:t>
      </w:r>
      <w:r w:rsidRPr="004A2342">
        <w:t xml:space="preserve"> health care practitioner</w:t>
      </w:r>
      <w:r>
        <w:t xml:space="preserve"> </w:t>
      </w:r>
      <w:r>
        <w:rPr>
          <w:rFonts w:ascii="Albertus Extra Bold" w:hAnsi="Albertus Extra Bold"/>
          <w:b/>
          <w:vertAlign w:val="superscript"/>
        </w:rPr>
        <w:t>1</w:t>
      </w:r>
      <w:r>
        <w:rPr>
          <w:u w:val="single"/>
        </w:rPr>
        <w:t>, as applicable,</w:t>
      </w:r>
      <w:r>
        <w:rPr>
          <w:rFonts w:ascii="Albertus Extra Bold" w:hAnsi="Albertus Extra Bold"/>
          <w:b/>
          <w:vertAlign w:val="superscript"/>
        </w:rPr>
        <w:t>1</w:t>
      </w:r>
      <w:r w:rsidRPr="004A2342">
        <w:t xml:space="preserve"> </w:t>
      </w:r>
      <w:r>
        <w:t xml:space="preserve">shall discuss the results with </w:t>
      </w:r>
      <w:r>
        <w:rPr>
          <w:rFonts w:ascii="Albertus Extra Bold" w:hAnsi="Albertus Extra Bold"/>
          <w:b/>
          <w:vertAlign w:val="superscript"/>
        </w:rPr>
        <w:t>1</w:t>
      </w:r>
      <w:r w:rsidRPr="004F6BE3">
        <w:rPr>
          <w:rFonts w:ascii="Albertus Extra Bold" w:hAnsi="Albertus Extra Bold"/>
          <w:b/>
        </w:rPr>
        <w:t>[</w:t>
      </w:r>
      <w:r>
        <w:t>a pregnant women or women who has given birth</w:t>
      </w:r>
      <w:r w:rsidRPr="004F6BE3">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and, if the </w:t>
      </w:r>
      <w:r>
        <w:rPr>
          <w:rFonts w:ascii="Albertus Extra Bold" w:hAnsi="Albertus Extra Bold"/>
          <w:b/>
          <w:vertAlign w:val="superscript"/>
        </w:rPr>
        <w:t>1</w:t>
      </w:r>
      <w:r w:rsidRPr="00076961">
        <w:rPr>
          <w:rFonts w:ascii="Albertus Extra Bold" w:hAnsi="Albertus Extra Bold"/>
          <w:b/>
        </w:rPr>
        <w:t>[</w:t>
      </w:r>
      <w:r>
        <w:t>woman</w:t>
      </w:r>
      <w:r>
        <w:rPr>
          <w:rFonts w:ascii="Albertus Extra Bold" w:hAnsi="Albertus Extra Bold"/>
          <w:b/>
        </w:rPr>
        <w:t xml:space="preserve"> </w:t>
      </w:r>
      <w:r>
        <w:t>tests positive</w:t>
      </w:r>
      <w:r>
        <w:rPr>
          <w:rFonts w:ascii="Albertus Extra Bold" w:hAnsi="Albertus Extra Bold"/>
        </w:rPr>
        <w:t>]</w:t>
      </w:r>
      <w:r>
        <w:t xml:space="preserve"> </w:t>
      </w:r>
      <w:r>
        <w:rPr>
          <w:u w:val="single"/>
        </w:rPr>
        <w:t>person has a positive screening</w:t>
      </w:r>
      <w:r>
        <w:rPr>
          <w:rFonts w:ascii="Albertus Extra Bold" w:hAnsi="Albertus Extra Bold"/>
          <w:vertAlign w:val="superscript"/>
        </w:rPr>
        <w:t>1</w:t>
      </w:r>
      <w:r w:rsidRPr="00AB7850">
        <w:t xml:space="preserve"> </w:t>
      </w:r>
      <w:r>
        <w:t xml:space="preserve">for preeclampsia, develop a treatment plan to minimize the </w:t>
      </w:r>
      <w:r>
        <w:rPr>
          <w:rFonts w:ascii="Albertus Extra Bold" w:hAnsi="Albertus Extra Bold"/>
          <w:b/>
          <w:vertAlign w:val="superscript"/>
        </w:rPr>
        <w:t>1</w:t>
      </w:r>
      <w:r w:rsidRPr="00076961">
        <w:rPr>
          <w:rFonts w:ascii="Albertus Extra Bold" w:hAnsi="Albertus Extra Bold"/>
          <w:b/>
        </w:rPr>
        <w:t>[</w:t>
      </w:r>
      <w:r>
        <w:t>woman’s</w:t>
      </w:r>
      <w:r w:rsidRPr="00076961">
        <w:rPr>
          <w:rFonts w:ascii="Albertus Extra Bold" w:hAnsi="Albertus Extra Bold"/>
          <w:b/>
        </w:rPr>
        <w:t>]</w:t>
      </w:r>
      <w:r>
        <w:t xml:space="preserve"> </w:t>
      </w:r>
      <w:r>
        <w:rPr>
          <w:u w:val="single"/>
        </w:rPr>
        <w:t>person’s</w:t>
      </w:r>
      <w:r>
        <w:rPr>
          <w:rFonts w:ascii="Albertus Extra Bold" w:hAnsi="Albertus Extra Bold"/>
          <w:b/>
          <w:vertAlign w:val="superscript"/>
        </w:rPr>
        <w:t>1</w:t>
      </w:r>
      <w:r>
        <w:t xml:space="preserve"> risk from preeclampsia.</w:t>
      </w:r>
    </w:p>
    <w:p w:rsidR="00FE1FC3" w:rsidRPr="00FE1FC3" w:rsidRDefault="00FE1FC3" w:rsidP="00FE1FC3"/>
    <w:p w:rsidR="00FE1FC3" w:rsidRPr="00FE1FC3" w:rsidRDefault="00377D87" w:rsidP="00FE1FC3">
      <w:r>
        <w:tab/>
        <w:t>2.</w:t>
      </w:r>
      <w:r>
        <w:tab/>
      </w:r>
      <w:r w:rsidR="00FE1FC3" w:rsidRPr="00FE1FC3">
        <w:t>The Commissioner of Health, pursuant to the "Administrative Procedure Act," P.L.1968, c.410 (C.52:14B-1 et seq.), shall adopt rules and regulations to effectuate the purposes of this act.</w:t>
      </w:r>
    </w:p>
    <w:p w:rsidR="00FE1FC3" w:rsidRPr="00FE1FC3" w:rsidRDefault="00FE1FC3" w:rsidP="00FE1FC3"/>
    <w:p w:rsidR="007316F5" w:rsidRDefault="00FE1FC3" w:rsidP="007316F5">
      <w:r w:rsidRPr="00FE1FC3">
        <w:tab/>
      </w:r>
      <w:r w:rsidR="00377D87">
        <w:t>3.</w:t>
      </w:r>
      <w:r w:rsidR="00377D87">
        <w:tab/>
      </w:r>
      <w:r w:rsidRPr="00FE1FC3">
        <w:t>This act shall take effect immediately.</w:t>
      </w:r>
      <w:r w:rsidR="00377D87">
        <w:t xml:space="preserve"> </w:t>
      </w:r>
    </w:p>
    <w:sectPr w:rsidR="007316F5" w:rsidSect="007316F5">
      <w:headerReference w:type="default" r:id="rId13"/>
      <w:footerReference w:type="default" r:id="rId14"/>
      <w:headerReference w:type="first" r:id="rId15"/>
      <w:footerReference w:type="first" r:id="rId16"/>
      <w:pgSz w:w="12240" w:h="20160" w:code="5"/>
      <w:pgMar w:top="1440" w:right="2520" w:bottom="1872"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A8" w:rsidRDefault="00EC1CA8">
      <w:r>
        <w:separator/>
      </w:r>
    </w:p>
  </w:endnote>
  <w:endnote w:type="continuationSeparator" w:id="0">
    <w:p w:rsidR="00EC1CA8" w:rsidRDefault="00EC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DCC" w:rsidRDefault="00540DCC" w:rsidP="00540DCC">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15C" w:rsidRPr="00921C91" w:rsidRDefault="000F01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015C" w:rsidRPr="00921C91" w:rsidRDefault="000F015C">
    <w:pPr>
      <w:pStyle w:val="Footer"/>
      <w:rPr>
        <w:szCs w:val="18"/>
      </w:rPr>
    </w:pPr>
  </w:p>
  <w:p w:rsidR="000F015C" w:rsidRPr="00921C91" w:rsidRDefault="000F01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015C" w:rsidRDefault="000F015C" w:rsidP="00686AEB">
    <w:pPr>
      <w:pStyle w:val="Footer"/>
    </w:pPr>
    <w:r>
      <w:tab/>
      <w:t>Matter enclosed in superscript numerals has been adopted as follows:</w:t>
    </w:r>
  </w:p>
  <w:p w:rsidR="000F015C" w:rsidRDefault="000F015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0F015C" w:rsidRPr="000F015C" w:rsidRDefault="000F015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A8" w:rsidRDefault="00EC1CA8">
      <w:r>
        <w:separator/>
      </w:r>
    </w:p>
  </w:footnote>
  <w:footnote w:type="continuationSeparator" w:id="0">
    <w:p w:rsidR="00EC1CA8" w:rsidRDefault="00EC1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6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6C0" w:rsidRDefault="008E76C0" w:rsidP="008E76C0">
    <w:pPr>
      <w:pStyle w:val="bpuHeadSpon"/>
    </w:pPr>
    <w:r w:rsidRPr="008E76C0">
      <w:rPr>
        <w:rStyle w:val="bpuHeadSponChar"/>
      </w:rPr>
      <w:t>S3432</w:t>
    </w:r>
    <w:r>
      <w:t xml:space="preserve"> </w:t>
    </w:r>
    <w:r w:rsidR="000F015C">
      <w:t xml:space="preserve">[1R] </w:t>
    </w:r>
    <w:r>
      <w:t>RUIZ</w:t>
    </w:r>
    <w:r w:rsidR="00540DCC">
      <w:t xml:space="preserve">, </w:t>
    </w:r>
    <w:r w:rsidR="00540DCC">
      <w:t>O'SCANLON</w:t>
    </w:r>
  </w:p>
  <w:p w:rsidR="008E76C0" w:rsidRDefault="008E76C0" w:rsidP="008E76C0">
    <w:pPr>
      <w:pStyle w:val="bpuHeadSpon"/>
    </w:pPr>
    <w:r>
      <w:fldChar w:fldCharType="begin"/>
    </w:r>
    <w:r>
      <w:instrText xml:space="preserve"> PAGE  \* MERGEFORMAT </w:instrText>
    </w:r>
    <w:r>
      <w:fldChar w:fldCharType="separate"/>
    </w:r>
    <w:r w:rsidR="00235620">
      <w:rPr>
        <w:noProof/>
      </w:rPr>
      <w:t>3</w:t>
    </w:r>
    <w:r>
      <w:fldChar w:fldCharType="end"/>
    </w:r>
  </w:p>
  <w:p w:rsidR="008E76C0" w:rsidRDefault="008E76C0" w:rsidP="008E7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76C0" w:rsidRDefault="008E76C0" w:rsidP="008E76C0">
    <w:pPr>
      <w:pStyle w:val="bpuHeadSpon"/>
    </w:pPr>
    <w:r w:rsidRPr="008E76C0">
      <w:rPr>
        <w:rStyle w:val="bpuHeadSponChar"/>
      </w:rPr>
      <w:t>S3432</w:t>
    </w:r>
    <w:r>
      <w:t xml:space="preserve"> </w:t>
    </w:r>
    <w:r w:rsidR="000F015C">
      <w:t xml:space="preserve">[1R] </w:t>
    </w:r>
    <w:r>
      <w:t>RUIZ</w:t>
    </w:r>
    <w:r w:rsidR="00540DCC">
      <w:t xml:space="preserve">, </w:t>
    </w:r>
    <w:r w:rsidR="00540DCC">
      <w:t>O'SCANLON</w:t>
    </w:r>
  </w:p>
  <w:p w:rsidR="008E76C0" w:rsidRDefault="008E76C0" w:rsidP="008E76C0">
    <w:pPr>
      <w:pStyle w:val="bpuHeadSpon"/>
    </w:pPr>
    <w:r>
      <w:fldChar w:fldCharType="begin"/>
    </w:r>
    <w:r>
      <w:instrText xml:space="preserve"> PAGE  \* MERGEFORMAT </w:instrText>
    </w:r>
    <w:r>
      <w:fldChar w:fldCharType="separate"/>
    </w:r>
    <w:r w:rsidR="00235620">
      <w:rPr>
        <w:noProof/>
      </w:rPr>
      <w:t>2</w:t>
    </w:r>
    <w:r>
      <w:fldChar w:fldCharType="end"/>
    </w:r>
  </w:p>
  <w:p w:rsidR="008E76C0" w:rsidRDefault="008E76C0" w:rsidP="008E7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1B"/>
    <w:rsid w:val="000E4006"/>
    <w:rsid w:val="000F015C"/>
    <w:rsid w:val="000F3DA2"/>
    <w:rsid w:val="000F5FDE"/>
    <w:rsid w:val="000F7466"/>
    <w:rsid w:val="0013000E"/>
    <w:rsid w:val="00133F81"/>
    <w:rsid w:val="00135943"/>
    <w:rsid w:val="0014664C"/>
    <w:rsid w:val="001645FB"/>
    <w:rsid w:val="00173D2B"/>
    <w:rsid w:val="0017736A"/>
    <w:rsid w:val="00181676"/>
    <w:rsid w:val="00183603"/>
    <w:rsid w:val="0018410E"/>
    <w:rsid w:val="00194E78"/>
    <w:rsid w:val="0019707B"/>
    <w:rsid w:val="00197E8B"/>
    <w:rsid w:val="00197FA4"/>
    <w:rsid w:val="001A0DD7"/>
    <w:rsid w:val="001A161A"/>
    <w:rsid w:val="001A3B79"/>
    <w:rsid w:val="001A66B6"/>
    <w:rsid w:val="001B4716"/>
    <w:rsid w:val="001B4EA4"/>
    <w:rsid w:val="001C731D"/>
    <w:rsid w:val="001C7C52"/>
    <w:rsid w:val="001D25F3"/>
    <w:rsid w:val="001E15F1"/>
    <w:rsid w:val="001E16FA"/>
    <w:rsid w:val="001E6213"/>
    <w:rsid w:val="001F14C7"/>
    <w:rsid w:val="001F7405"/>
    <w:rsid w:val="00205533"/>
    <w:rsid w:val="00212B8D"/>
    <w:rsid w:val="00222983"/>
    <w:rsid w:val="0023562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670"/>
    <w:rsid w:val="00354334"/>
    <w:rsid w:val="0036180C"/>
    <w:rsid w:val="00363CF5"/>
    <w:rsid w:val="00364344"/>
    <w:rsid w:val="003702CA"/>
    <w:rsid w:val="00370617"/>
    <w:rsid w:val="00377D8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DC"/>
    <w:rsid w:val="004C742C"/>
    <w:rsid w:val="004E1F3E"/>
    <w:rsid w:val="004F21BD"/>
    <w:rsid w:val="004F4F1D"/>
    <w:rsid w:val="004F74DD"/>
    <w:rsid w:val="00501317"/>
    <w:rsid w:val="0050495C"/>
    <w:rsid w:val="00505DC9"/>
    <w:rsid w:val="00506E1E"/>
    <w:rsid w:val="00513C81"/>
    <w:rsid w:val="00527BFB"/>
    <w:rsid w:val="00532A32"/>
    <w:rsid w:val="00540B0B"/>
    <w:rsid w:val="00540DCC"/>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EA3"/>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0D2"/>
    <w:rsid w:val="006B7897"/>
    <w:rsid w:val="006B7FA7"/>
    <w:rsid w:val="006C086A"/>
    <w:rsid w:val="006C21C1"/>
    <w:rsid w:val="006C7327"/>
    <w:rsid w:val="006D00E5"/>
    <w:rsid w:val="006D791B"/>
    <w:rsid w:val="006E2895"/>
    <w:rsid w:val="006F180D"/>
    <w:rsid w:val="006F4334"/>
    <w:rsid w:val="006F47AF"/>
    <w:rsid w:val="006F6B8A"/>
    <w:rsid w:val="00703D6C"/>
    <w:rsid w:val="00707CD3"/>
    <w:rsid w:val="00716BB9"/>
    <w:rsid w:val="007256D1"/>
    <w:rsid w:val="007279FD"/>
    <w:rsid w:val="007316F5"/>
    <w:rsid w:val="007502CB"/>
    <w:rsid w:val="00751FE6"/>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C0"/>
    <w:rsid w:val="008F1E5A"/>
    <w:rsid w:val="008F478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32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254"/>
    <w:rsid w:val="00B0116D"/>
    <w:rsid w:val="00B01173"/>
    <w:rsid w:val="00B02F35"/>
    <w:rsid w:val="00B051EF"/>
    <w:rsid w:val="00B05A3C"/>
    <w:rsid w:val="00B07100"/>
    <w:rsid w:val="00B1138C"/>
    <w:rsid w:val="00B2574A"/>
    <w:rsid w:val="00B35D8A"/>
    <w:rsid w:val="00B45B34"/>
    <w:rsid w:val="00B57047"/>
    <w:rsid w:val="00B61D86"/>
    <w:rsid w:val="00B6342D"/>
    <w:rsid w:val="00B634E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F9E"/>
    <w:rsid w:val="00C46BC1"/>
    <w:rsid w:val="00C5235F"/>
    <w:rsid w:val="00C54CE2"/>
    <w:rsid w:val="00C63F6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2A"/>
    <w:rsid w:val="00D078A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50"/>
    <w:rsid w:val="00DB6AA2"/>
    <w:rsid w:val="00DE10D1"/>
    <w:rsid w:val="00DE2514"/>
    <w:rsid w:val="00DE6851"/>
    <w:rsid w:val="00DF03EE"/>
    <w:rsid w:val="00E01B71"/>
    <w:rsid w:val="00E05CC9"/>
    <w:rsid w:val="00E15573"/>
    <w:rsid w:val="00E25A5B"/>
    <w:rsid w:val="00E343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A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F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D021DD"/>
  <w15:docId w15:val="{3773A0E2-C7B9-40CB-9D3A-90E6FCA3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53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670"/>
    <w:rPr>
      <w:rFonts w:ascii="Segoe UI" w:hAnsi="Segoe UI" w:cs="Segoe UI"/>
      <w:spacing w:val="4"/>
      <w:sz w:val="18"/>
      <w:szCs w:val="18"/>
    </w:rPr>
  </w:style>
  <w:style w:type="character" w:styleId="LineNumber">
    <w:name w:val="line number"/>
    <w:basedOn w:val="DefaultParagraphFont"/>
    <w:semiHidden/>
    <w:unhideWhenUsed/>
    <w:rsid w:val="008E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3783</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S3432</vt:lpstr>
    </vt:vector>
  </TitlesOfParts>
  <Manager>R225</Manager>
  <Company>NJ Office of Legislative Services</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 1R</dc:title>
  <dc:subject>21-375</dc:subject>
  <dc:creator>Senator  RUIZ</dc:creator>
  <cp:keywords>S3432|3|HS |259|219|321|!|0|</cp:keywords>
  <dc:description>INTRODUCED FEBRUARY 11, 2021_x000d_
Amended 6/10/21</dc:description>
  <cp:lastModifiedBy>Todaro, Vivian</cp:lastModifiedBy>
  <cp:revision>2</cp:revision>
  <cp:lastPrinted>2022-01-07T17:59:00Z</cp:lastPrinted>
  <dcterms:created xsi:type="dcterms:W3CDTF">2022-01-07T17:59:00Z</dcterms:created>
  <dcterms:modified xsi:type="dcterms:W3CDTF">2022-01-07T17:59:00Z</dcterms:modified>
  <cp:category>s. 1 – C.26:2-111.9; s.2 - A.P.A.; s.3 –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