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51DA" w:rsidRDefault="00C451DA" w:rsidP="00C451DA">
      <w:pPr>
        <w:pStyle w:val="bpuReprint"/>
      </w:pPr>
      <w:bookmarkStart w:id="0" w:name="bpuFrontPg"/>
      <w:bookmarkStart w:id="1" w:name="_GoBack"/>
      <w:bookmarkEnd w:id="0"/>
      <w:bookmarkEnd w:id="1"/>
      <w:r>
        <w:t>[First Reprint]</w:t>
      </w:r>
    </w:p>
    <w:p w:rsidR="005005EC" w:rsidRDefault="005005EC" w:rsidP="005005EC">
      <w:pPr>
        <w:pStyle w:val="bpuBill"/>
      </w:pPr>
      <w:r>
        <w:t xml:space="preserve">SENATE, No. 3535 </w:t>
      </w:r>
    </w:p>
    <w:p w:rsidR="005005EC" w:rsidRPr="009D38FF" w:rsidRDefault="005005EC" w:rsidP="005005E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654703" r:id="rId8"/>
        </w:object>
      </w:r>
    </w:p>
    <w:p w:rsidR="005005EC" w:rsidRDefault="005005EC" w:rsidP="005005EC">
      <w:pPr>
        <w:pStyle w:val="bpuState"/>
      </w:pPr>
      <w:r>
        <w:t>STATE OF NEW JERSEY</w:t>
      </w:r>
    </w:p>
    <w:p w:rsidR="005005EC" w:rsidRDefault="005005EC" w:rsidP="005005EC">
      <w:pPr>
        <w:pStyle w:val="bpuLegislature"/>
      </w:pPr>
      <w:r>
        <w:t>219th LEGISLATURE</w:t>
      </w:r>
    </w:p>
    <w:p w:rsidR="005005EC" w:rsidRDefault="005005EC" w:rsidP="005005EC">
      <w:pPr>
        <w:pStyle w:val="bpuWpGraphic"/>
      </w:pPr>
      <w:r>
        <w:object w:dxaOrig="8985" w:dyaOrig="255">
          <v:shape id="_x0000_i1026" type="#_x0000_t75" style="width:6in;height:12pt" o:ole="">
            <v:imagedata r:id="rId7" o:title=""/>
          </v:shape>
          <o:OLEObject Type="Embed" ProgID="WPWin6.1" ShapeID="_x0000_i1026" DrawAspect="Content" ObjectID="_1700654704" r:id="rId9"/>
        </w:object>
      </w:r>
      <w:r>
        <w:t xml:space="preserve">  </w:t>
      </w:r>
    </w:p>
    <w:p w:rsidR="005005EC" w:rsidRDefault="0072259A" w:rsidP="005005EC">
      <w:pPr>
        <w:pStyle w:val="bpuIntro"/>
      </w:pPr>
      <w:r>
        <w:t>INTRODUCED MARCH 11</w:t>
      </w:r>
      <w:r w:rsidR="005005EC">
        <w:t>, 2021</w:t>
      </w:r>
    </w:p>
    <w:p w:rsidR="005005EC" w:rsidRDefault="005005EC" w:rsidP="005005EC">
      <w:pPr>
        <w:pStyle w:val="bpuIntro"/>
      </w:pPr>
    </w:p>
    <w:p w:rsidR="005005EC" w:rsidRDefault="005005EC" w:rsidP="005005EC">
      <w:pPr>
        <w:pStyle w:val="bpuIntro"/>
        <w:sectPr w:rsidR="005005EC" w:rsidSect="005005EC">
          <w:headerReference w:type="even" r:id="rId10"/>
          <w:headerReference w:type="default" r:id="rId11"/>
          <w:pgSz w:w="12240" w:h="20160" w:code="5"/>
          <w:pgMar w:top="2160" w:right="1440" w:bottom="1440" w:left="1440" w:header="72" w:footer="720" w:gutter="0"/>
          <w:pgNumType w:start="1"/>
          <w:cols w:space="720"/>
          <w:docGrid w:linePitch="360"/>
        </w:sectPr>
      </w:pPr>
    </w:p>
    <w:p w:rsidR="005005EC" w:rsidRDefault="005005EC" w:rsidP="005005EC">
      <w:pPr>
        <w:pStyle w:val="bpuIntro"/>
      </w:pPr>
    </w:p>
    <w:p w:rsidR="005005EC" w:rsidRDefault="005005EC" w:rsidP="005005EC">
      <w:pPr>
        <w:pStyle w:val="bpuSponsor"/>
      </w:pPr>
      <w:r>
        <w:t>Sponsored by:</w:t>
      </w:r>
    </w:p>
    <w:p w:rsidR="005005EC" w:rsidRDefault="005005EC" w:rsidP="005005EC">
      <w:pPr>
        <w:pStyle w:val="bpuSponsor"/>
      </w:pPr>
      <w:r>
        <w:t>Senator  SHIRLEY K. TURNER</w:t>
      </w:r>
    </w:p>
    <w:p w:rsidR="005005EC" w:rsidRDefault="005005EC" w:rsidP="005005EC">
      <w:pPr>
        <w:pStyle w:val="bpuSponsor"/>
      </w:pPr>
      <w:r>
        <w:t>District 15 (Hunterdon and Mercer)</w:t>
      </w:r>
    </w:p>
    <w:p w:rsidR="005005EC" w:rsidRDefault="005005EC" w:rsidP="005005EC">
      <w:pPr>
        <w:pStyle w:val="bpuSponsor"/>
      </w:pPr>
    </w:p>
    <w:p w:rsidR="005005EC" w:rsidRDefault="005005EC" w:rsidP="005005EC">
      <w:pPr>
        <w:pStyle w:val="bpuSponsor"/>
      </w:pPr>
    </w:p>
    <w:p w:rsidR="005005EC" w:rsidRDefault="005005EC" w:rsidP="005005EC">
      <w:pPr>
        <w:pStyle w:val="bpuSponsor"/>
      </w:pPr>
    </w:p>
    <w:p w:rsidR="005005EC" w:rsidRDefault="005005EC" w:rsidP="005005EC">
      <w:pPr>
        <w:pStyle w:val="bpuSponsor"/>
      </w:pPr>
    </w:p>
    <w:p w:rsidR="005005EC" w:rsidRDefault="005005EC" w:rsidP="005005EC">
      <w:pPr>
        <w:pStyle w:val="bpuSponsor"/>
      </w:pPr>
      <w:r>
        <w:t>SYNOPSIS</w:t>
      </w:r>
    </w:p>
    <w:p w:rsidR="005005EC" w:rsidRDefault="00511C08" w:rsidP="005005EC">
      <w:pPr>
        <w:pStyle w:val="bpuNormText"/>
      </w:pPr>
      <w:r>
        <w:tab/>
        <w:t>Requires BPU, electric power suppliers, and gas suppliers to publish certain information related to filing of customer complaints.</w:t>
      </w:r>
      <w:r w:rsidR="005005EC">
        <w:t xml:space="preserve"> </w:t>
      </w:r>
    </w:p>
    <w:p w:rsidR="005005EC" w:rsidRDefault="005005EC" w:rsidP="005005EC">
      <w:pPr>
        <w:pStyle w:val="bpuNormText"/>
      </w:pPr>
    </w:p>
    <w:p w:rsidR="005005EC" w:rsidRDefault="005005EC" w:rsidP="005005EC">
      <w:pPr>
        <w:pStyle w:val="bpuSponsor"/>
      </w:pPr>
      <w:r>
        <w:t xml:space="preserve">CURRENT VERSION OF TEXT </w:t>
      </w:r>
    </w:p>
    <w:p w:rsidR="005005EC" w:rsidRDefault="00C451DA" w:rsidP="005005EC">
      <w:pPr>
        <w:pStyle w:val="bpuNormText"/>
      </w:pPr>
      <w:r>
        <w:tab/>
        <w:t>As reported by the Senate Economic Growth Committee on December 9, 2021, with amendments.</w:t>
      </w:r>
    </w:p>
    <w:p w:rsidR="005005EC" w:rsidRDefault="005005EC" w:rsidP="005005E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005EC" w:rsidRDefault="005005EC" w:rsidP="008916EC">
      <w:pPr>
        <w:pStyle w:val="FronterPage"/>
        <w:tabs>
          <w:tab w:val="clear" w:pos="720"/>
          <w:tab w:val="clear" w:pos="1440"/>
          <w:tab w:val="clear" w:pos="2160"/>
          <w:tab w:val="clear" w:pos="2880"/>
          <w:tab w:val="clear" w:pos="3600"/>
          <w:tab w:val="clear" w:pos="4320"/>
          <w:tab w:val="clear" w:pos="5040"/>
        </w:tabs>
        <w:sectPr w:rsidR="005005EC" w:rsidSect="005005EC">
          <w:type w:val="continuous"/>
          <w:pgSz w:w="12240" w:h="20160" w:code="5"/>
          <w:pgMar w:top="1440" w:right="2275" w:bottom="1440" w:left="2275" w:header="72" w:footer="720" w:gutter="0"/>
          <w:pgNumType w:start="1"/>
          <w:cols w:space="720"/>
          <w:docGrid w:linePitch="360"/>
        </w:sectPr>
      </w:pPr>
    </w:p>
    <w:p w:rsidR="00F9085E" w:rsidRPr="00677316" w:rsidRDefault="00F9085E" w:rsidP="00F9085E">
      <w:pPr>
        <w:pStyle w:val="HangingAnAct"/>
        <w:rPr>
          <w:rStyle w:val="HangingAnActChar"/>
        </w:rPr>
      </w:pPr>
      <w:r w:rsidRPr="00F9085E">
        <w:rPr>
          <w:rStyle w:val="BillHead"/>
        </w:rPr>
        <w:lastRenderedPageBreak/>
        <w:t>An Act</w:t>
      </w:r>
      <w:r w:rsidRPr="006B7FA7">
        <w:rPr>
          <w:rStyle w:val="HangingAnActChar"/>
        </w:rPr>
        <w:t xml:space="preserve"> </w:t>
      </w:r>
      <w:r w:rsidRPr="005F3120">
        <w:rPr>
          <w:rStyle w:val="HangingAnActChar"/>
        </w:rPr>
        <w:t>concerning the provision of electric generation service and gas supply service and amending P.L.1999, c.23.</w:t>
      </w:r>
    </w:p>
    <w:p w:rsidR="00F9085E" w:rsidRPr="00D71D68" w:rsidRDefault="00F9085E" w:rsidP="00F9085E"/>
    <w:p w:rsidR="00F9085E" w:rsidRPr="00AA7880" w:rsidRDefault="00F9085E" w:rsidP="00F9085E">
      <w:r>
        <w:tab/>
      </w:r>
      <w:r>
        <w:rPr>
          <w:rStyle w:val="BillHeading2"/>
        </w:rPr>
        <w:t xml:space="preserve">Be It Enacted </w:t>
      </w:r>
      <w:r>
        <w:rPr>
          <w:rStyle w:val="BillLanguage"/>
        </w:rPr>
        <w:t>by the Senate and General Assembly of the State of New Jersey:</w:t>
      </w:r>
    </w:p>
    <w:p w:rsidR="00F9085E" w:rsidRPr="00D71D68" w:rsidRDefault="00F9085E" w:rsidP="00F9085E"/>
    <w:p w:rsidR="00C451DA" w:rsidRDefault="00C451DA" w:rsidP="00C451DA">
      <w:r>
        <w:tab/>
        <w:t>1.</w:t>
      </w:r>
      <w:r>
        <w:tab/>
        <w:t>Section 36 of P.L.1999, c.23 (C.48:3-85) is amended to read as follows:</w:t>
      </w:r>
    </w:p>
    <w:p w:rsidR="00C451DA" w:rsidRDefault="00C451DA" w:rsidP="00C451DA">
      <w:pPr>
        <w:tabs>
          <w:tab w:val="clear" w:pos="1440"/>
          <w:tab w:val="left" w:pos="1080"/>
        </w:tabs>
      </w:pPr>
      <w:r>
        <w:tab/>
        <w:t>36.</w:t>
      </w:r>
      <w:r>
        <w:tab/>
        <w:t>a.</w:t>
      </w:r>
      <w:r>
        <w:tab/>
        <w:t>Notwithstanding any provisions of the "Administrative Procedure Act," P.L.1968, c.410 (C.52:14B-1 et seq.) to the contrary, the board, in consultation with the Division of Consumer Affairs in the Department of Law and Public Safety, shall initiate a proceeding and shall adopt, after notice, provision of the opportunity for comment, and public hearing, interim consumer protection standards for electric power suppliers or gas suppliers, within 90 days of February 9, 1999, including, but not limited to, standards for collections, credit, contracts, and authorized changes of an energy customer's electric power supplier or gas supplier, for the prohibition of discriminatory marketing, for advertising and for disclosure.  The standards shall be effective as regulations immediately upon filing with the Office of Administrative Law and shall be effective for a period not to exceed 18 months, and may, thereafter, be amended, adopted, or readopted by the board in accordance with the provisions of the "Administrative Procedure Act," P.L.1968, c.410 (C.52:14B-1 et seq.).</w:t>
      </w:r>
    </w:p>
    <w:p w:rsidR="00C451DA" w:rsidRDefault="00C451DA" w:rsidP="00C451DA">
      <w:pPr>
        <w:tabs>
          <w:tab w:val="clear" w:pos="1440"/>
          <w:tab w:val="left" w:pos="1260"/>
        </w:tabs>
      </w:pPr>
      <w:r>
        <w:tab/>
        <w:t>(1)</w:t>
      </w:r>
      <w:r>
        <w:tab/>
        <w:t>(a)</w:t>
      </w:r>
      <w:r>
        <w:tab/>
        <w:t xml:space="preserve">An electric power supplier or gas supplier shall not provide electric generation service or gas supply service to a customer in this State unless the electric power supplier or gas supplier has provided the customer a one-page information sheet summarizing the material terms and conditions of the contract as determined by the board.  Contract standards shall include, but not be limited to, requirements that electric power supply contracts or gas supply contracts conspicuously disclose the duration of the contract; state the price per kilowatt hour or per </w:t>
      </w:r>
      <w:proofErr w:type="spellStart"/>
      <w:r>
        <w:t>therm</w:t>
      </w:r>
      <w:proofErr w:type="spellEnd"/>
      <w:r>
        <w:t xml:space="preserve"> or other pricing determinant approved by the board; use a 12-point font; provide a one-page information sheet in a 12-point font summarizing the material terms and conditions of the contract in English and Spanish, as determined by the board; </w:t>
      </w:r>
      <w:r w:rsidRPr="001C19BE">
        <w:rPr>
          <w:rFonts w:ascii="Albertus Extra Bold" w:hAnsi="Albertus Extra Bold"/>
          <w:b/>
          <w:vertAlign w:val="superscript"/>
        </w:rPr>
        <w:t>1</w:t>
      </w:r>
      <w:r w:rsidRPr="001C19BE">
        <w:rPr>
          <w:u w:val="single"/>
        </w:rPr>
        <w:t xml:space="preserve">provide the phone number and website for filing complaints with the Board of Public Utilities, Division of Customer Assistance, and </w:t>
      </w:r>
      <w:r>
        <w:rPr>
          <w:u w:val="single"/>
        </w:rPr>
        <w:t xml:space="preserve">a </w:t>
      </w:r>
      <w:r w:rsidRPr="001C19BE">
        <w:rPr>
          <w:u w:val="single"/>
        </w:rPr>
        <w:t xml:space="preserve">one sentence explanation of </w:t>
      </w:r>
      <w:r>
        <w:rPr>
          <w:u w:val="single"/>
        </w:rPr>
        <w:t xml:space="preserve">the practice known as </w:t>
      </w:r>
      <w:r w:rsidRPr="001C19BE">
        <w:rPr>
          <w:u w:val="single"/>
        </w:rPr>
        <w:t>“slamming</w:t>
      </w:r>
      <w:r>
        <w:rPr>
          <w:u w:val="single"/>
        </w:rPr>
        <w:t>,</w:t>
      </w:r>
      <w:r w:rsidRPr="001C19BE">
        <w:rPr>
          <w:u w:val="single"/>
        </w:rPr>
        <w:t>”</w:t>
      </w:r>
      <w:r>
        <w:rPr>
          <w:u w:val="single"/>
        </w:rPr>
        <w:t xml:space="preserve"> </w:t>
      </w:r>
      <w:r w:rsidRPr="00FF4250">
        <w:rPr>
          <w:u w:val="single"/>
        </w:rPr>
        <w:t>wh</w:t>
      </w:r>
      <w:r>
        <w:rPr>
          <w:u w:val="single"/>
        </w:rPr>
        <w:t>ich is an unauthorized change of</w:t>
      </w:r>
      <w:r w:rsidRPr="00FF4250">
        <w:rPr>
          <w:u w:val="single"/>
        </w:rPr>
        <w:t xml:space="preserve"> a customer's electric power supplier or gas supplier</w:t>
      </w:r>
      <w:r>
        <w:rPr>
          <w:u w:val="single"/>
        </w:rPr>
        <w:t>,</w:t>
      </w:r>
      <w:r w:rsidRPr="001C19BE">
        <w:rPr>
          <w:u w:val="single"/>
        </w:rPr>
        <w:t xml:space="preserve"> in a 12-point, boldface font on the one-page information sheet;</w:t>
      </w:r>
      <w:r w:rsidRPr="001C19BE">
        <w:rPr>
          <w:rFonts w:ascii="Albertus Extra Bold" w:hAnsi="Albertus Extra Bold"/>
          <w:b/>
          <w:vertAlign w:val="superscript"/>
        </w:rPr>
        <w:t>1</w:t>
      </w:r>
      <w:r>
        <w:t xml:space="preserve"> and state, in a 12-point, boldface font, whether the contract is for a fixed rate or a variable rate, and provide a brief </w:t>
      </w:r>
      <w:r>
        <w:lastRenderedPageBreak/>
        <w:t xml:space="preserve">explanation of the difference between a fixed rate and a variable rate that is easily understandable by the general public, including an explanation on how weather fluctuations may affect the price of variable rate contracts; have the customer's written signature </w:t>
      </w:r>
      <w:r w:rsidRPr="008664C9">
        <w:rPr>
          <w:rFonts w:ascii="Albertus Extra Bold" w:hAnsi="Albertus Extra Bold"/>
          <w:b/>
        </w:rPr>
        <w:t>[</w:t>
      </w:r>
      <w:r>
        <w:t>or electronic signature; an audio recording of a telephone call initiated by the customer; independent, third-party verification, in accordance with section 37 of P.L.1999, c.23 (C.48:3-86), of a telephone call initiated by an electric power supplier, gas supplier, or private aggregator; or any alternative forms of verification as the board, in consultation with the Division of Consumer Affairs in the Department of Law and Public Safety, may permit for</w:t>
      </w:r>
      <w:r w:rsidRPr="00D14691">
        <w:rPr>
          <w:rFonts w:ascii="Albertus Extra Bold" w:hAnsi="Albertus Extra Bold"/>
          <w:b/>
        </w:rPr>
        <w:t>]</w:t>
      </w:r>
      <w:r>
        <w:t xml:space="preserve"> </w:t>
      </w:r>
      <w:r w:rsidRPr="00107D57">
        <w:rPr>
          <w:u w:val="single"/>
        </w:rPr>
        <w:t>or electronic signature</w:t>
      </w:r>
      <w:r w:rsidRPr="001C19BE">
        <w:t xml:space="preserve"> </w:t>
      </w:r>
      <w:r w:rsidRPr="001C19BE">
        <w:rPr>
          <w:rFonts w:ascii="Albertus Extra Bold" w:hAnsi="Albertus Extra Bold"/>
          <w:b/>
          <w:vertAlign w:val="superscript"/>
        </w:rPr>
        <w:t>1</w:t>
      </w:r>
      <w:r>
        <w:rPr>
          <w:u w:val="single"/>
        </w:rPr>
        <w:t>; a</w:t>
      </w:r>
      <w:r w:rsidRPr="001C19BE">
        <w:rPr>
          <w:u w:val="single"/>
        </w:rPr>
        <w:t xml:space="preserve">n audio recording of a telephone </w:t>
      </w:r>
      <w:r>
        <w:rPr>
          <w:u w:val="single"/>
        </w:rPr>
        <w:t xml:space="preserve">call initiated by the customer; </w:t>
      </w:r>
      <w:r w:rsidRPr="001C19BE">
        <w:rPr>
          <w:u w:val="single"/>
        </w:rPr>
        <w:t>independent, third-party verification, in accordance with section 37 of P.L.1999, c.23 (C.48:3-86), of a telephone call initiated by an electric power supplier, gas supplier, or private aggregator; or any alternative forms of verification as the board, in consultation with the Division of Consumer Affairs in the Department of Law and Public Safety, may permit</w:t>
      </w:r>
      <w:r w:rsidRPr="001C19BE">
        <w:rPr>
          <w:rFonts w:ascii="Albertus Extra Bold" w:hAnsi="Albertus Extra Bold"/>
          <w:b/>
          <w:vertAlign w:val="superscript"/>
        </w:rPr>
        <w:t>1</w:t>
      </w:r>
      <w:r w:rsidRPr="001C19BE">
        <w:t xml:space="preserve"> </w:t>
      </w:r>
      <w:r w:rsidRPr="00D14691">
        <w:rPr>
          <w:u w:val="single"/>
        </w:rPr>
        <w:t>prior to</w:t>
      </w:r>
      <w:r>
        <w:t xml:space="preserve"> switching electric power suppliers or gas suppliers and for contract renewal; and include termination procedures, notice of any fees, and toll-free or local telephone numbers for the electric power supplier or gas supplier and for the board.  An electric power supplier or gas supplier shall not provide the customer's telephone number, electronic mail address, or postal address to other electric power suppliers or gas suppliers if the customer's telephone number appears on the no telemarketing call list established and maintained by the Division of Consumer Affairs, pursuant to the provisions of section 9 of P.L.2003, c.76 (C.56:8-127), or the national do-not-call registry as maintained by the Federal Trade Commission. </w:t>
      </w:r>
    </w:p>
    <w:p w:rsidR="00C451DA" w:rsidRDefault="00C451DA" w:rsidP="00C451DA">
      <w:r>
        <w:tab/>
        <w:t>(b)</w:t>
      </w:r>
      <w:r>
        <w:tab/>
        <w:t xml:space="preserve">As used in this paragraph, "customer" means a residential customer or a commercial electric customer with a cumulative peak load of 50 kilowatts or less, or a commercial gas customer with a cumulative peak load of 5,000 </w:t>
      </w:r>
      <w:proofErr w:type="spellStart"/>
      <w:r>
        <w:t>therms</w:t>
      </w:r>
      <w:proofErr w:type="spellEnd"/>
      <w:r>
        <w:t xml:space="preserve"> or less.</w:t>
      </w:r>
    </w:p>
    <w:p w:rsidR="00C451DA" w:rsidRDefault="00C451DA" w:rsidP="00C451DA">
      <w:r>
        <w:tab/>
        <w:t>(2)</w:t>
      </w:r>
      <w:r>
        <w:tab/>
        <w:t>Standards for the prohibition of discriminatory marketing shall provide, at a minimum, that a decision made by an electric power supplier or a gas supplier to accept or reject a customer shall not be based on race, color, national origin, age, gender, religion, source of income, receipt of public benefits, family status, sexual preference, or geographic location.  The board shall adopt reporting requirements to monitor compliance with its standards.</w:t>
      </w:r>
    </w:p>
    <w:p w:rsidR="00C451DA" w:rsidRDefault="00C451DA" w:rsidP="00C451DA">
      <w:r>
        <w:tab/>
        <w:t>(3)</w:t>
      </w:r>
      <w:r>
        <w:tab/>
        <w:t xml:space="preserve">Advertising standards for electric power suppliers or gas suppliers shall provide, at a minimum, that optional charges to the customer will not be added to any advertised cost per kilowatt hour or per </w:t>
      </w:r>
      <w:proofErr w:type="spellStart"/>
      <w:r>
        <w:t>therm</w:t>
      </w:r>
      <w:proofErr w:type="spellEnd"/>
      <w:r>
        <w:t xml:space="preserve">, and that the only unit of measurement that may be used in advertisements is cost per kilowatt hour or per </w:t>
      </w:r>
      <w:proofErr w:type="spellStart"/>
      <w:r>
        <w:t>therm</w:t>
      </w:r>
      <w:proofErr w:type="spellEnd"/>
      <w:r>
        <w:t xml:space="preserve">, unless otherwise approved by the board.  If an electric power supplier or gas supplier does not advertise using cost per kilowatt hour or per </w:t>
      </w:r>
      <w:proofErr w:type="spellStart"/>
      <w:r>
        <w:lastRenderedPageBreak/>
        <w:t>therm</w:t>
      </w:r>
      <w:proofErr w:type="spellEnd"/>
      <w:r>
        <w:t>, the electric power supplier or gas supplier shall provide, at the customer's request, an estimate of the cost per kilowatt hour or per therm.  Any optional charges to the customer shall be identified separately and denoted as optional.</w:t>
      </w:r>
    </w:p>
    <w:p w:rsidR="00C451DA" w:rsidRDefault="00C451DA" w:rsidP="00C451DA">
      <w:r>
        <w:tab/>
        <w:t>(4)</w:t>
      </w:r>
      <w:r>
        <w:tab/>
        <w:t>Credit standards shall include, at a minimum, that the credit requirements used to make decisions must be the same for all residential customers and that electric power suppliers, gas suppliers, and private aggregators not impose unreasonable income or credit requirements.</w:t>
      </w:r>
    </w:p>
    <w:p w:rsidR="00C451DA" w:rsidRDefault="00C451DA" w:rsidP="00C451DA">
      <w:r>
        <w:tab/>
        <w:t>(5)</w:t>
      </w:r>
      <w:r>
        <w:tab/>
        <w:t>Billing standards shall include, at a minimum, provisions prohibiting electric public utilities, gas public utilities, electric power suppliers, and gas suppliers from charging a fee to residential customers for either the commencement or termination of electric generation service or gas supply service.</w:t>
      </w:r>
    </w:p>
    <w:p w:rsidR="00C451DA" w:rsidRDefault="00C451DA" w:rsidP="00C451DA">
      <w:pPr>
        <w:tabs>
          <w:tab w:val="clear" w:pos="1440"/>
          <w:tab w:val="left" w:pos="1170"/>
        </w:tabs>
      </w:pPr>
      <w:r>
        <w:tab/>
        <w:t>b.</w:t>
      </w:r>
      <w:r>
        <w:tab/>
        <w:t>(1)</w:t>
      </w:r>
      <w:r>
        <w:tab/>
        <w:t>Except as provided in paragraph (2) of this subsection, an electric power supplier, a gas supplier, an electric public utility, and a gas public utility shall not disclose, sell, or transfer individual proprietary information, including, but not limited to, a customer's name, address, telephone number, energy usage, and electric power payment history, to a third party without the consent of the customer.</w:t>
      </w:r>
    </w:p>
    <w:p w:rsidR="00C451DA" w:rsidRDefault="00C451DA" w:rsidP="00C451DA">
      <w:pPr>
        <w:tabs>
          <w:tab w:val="clear" w:pos="1440"/>
          <w:tab w:val="left" w:pos="1170"/>
        </w:tabs>
      </w:pPr>
      <w:r>
        <w:tab/>
        <w:t>(2)</w:t>
      </w:r>
      <w:r>
        <w:tab/>
        <w:t>(a)</w:t>
      </w:r>
      <w:r>
        <w:tab/>
        <w:t xml:space="preserve">An electric public utility or a gas public utility may disclose and provide, in an electronic format, which may include a CD rom, diskette, and other format as determined by the board, without the consent of a residential customer, a residential customer's name, rate class, and account number, to a government aggregator that is a municipality or a county, or to an energy agent acting as a consultant to a government aggregator that is a municipality or a county, if the customer information is to be used to establish a government energy aggregation program pursuant to sections 42, 43, and 45 of P.L.1999, c.23 (C.48:3-91; </w:t>
      </w:r>
      <w:r w:rsidRPr="00D14691">
        <w:rPr>
          <w:u w:val="single"/>
        </w:rPr>
        <w:t>C.</w:t>
      </w:r>
      <w:r>
        <w:t xml:space="preserve">48:3-92; and </w:t>
      </w:r>
      <w:r w:rsidRPr="00D14691">
        <w:rPr>
          <w:u w:val="single"/>
        </w:rPr>
        <w:t>C.</w:t>
      </w:r>
      <w:r>
        <w:t xml:space="preserve">48:3-94). The number of residential customers and their rate class, and the load profile of non-residential customers who have affirmatively chosen to be included in a government energy aggregation program pursuant to paragraph (3) of subsection a. of section 45 of P.L.1999, c.23 (C.48:3-94) may be disclosed pursuant to this paragraph prior to the request by the government aggregator for bids pursuant to paragraph (1) of subsection b. of section 45 of P.L.1999, c.23 (C.48:3-94), and the name, address, and account number of a residential customer and the name, address, and account number of non-residential customers who have affirmatively chosen to be included in a government energy aggregation program pursuant to paragraph (3) of subsection a. of section 45 of P.L.1999, c.23 (C.48:3-94) may be disclosed pursuant to this paragraph upon the awarding of a contract to a licensed power supplier or licensed gas supplier pursuant to paragraph (2) of subsection b. of section 45 of P.L.1999, c.23 (C.48:3-94).  Any </w:t>
      </w:r>
      <w:r>
        <w:lastRenderedPageBreak/>
        <w:t>customer information disclosed pursuant to this paragraph shall not be considered a government record for the purposes of, and shall be exempt from the provisions of P.L.2001, c.404 (C.47:1A-5 et al.).</w:t>
      </w:r>
    </w:p>
    <w:p w:rsidR="00C451DA" w:rsidRDefault="00C451DA" w:rsidP="00C451DA">
      <w:r>
        <w:tab/>
        <w:t>(b)</w:t>
      </w:r>
      <w:r>
        <w:tab/>
        <w:t>An electric public utility or a gas public utility disclosing customer information pursuant to this paragraph shall exercise reasonable care in the preparation of this customer information, but shall not be responsible for errors or omissions in the preparation or the content of the customer information.</w:t>
      </w:r>
    </w:p>
    <w:p w:rsidR="00C451DA" w:rsidRDefault="00C451DA" w:rsidP="00C451DA">
      <w:r>
        <w:tab/>
        <w:t>(c)</w:t>
      </w:r>
      <w:r>
        <w:tab/>
        <w:t xml:space="preserve">Any person using any information disclosed pursuant to this paragraph for any purpose other than to establish a government energy aggregation program pursuant to sections 42, 43, and 45 of P.L.1999, c.23 (C.48:3-91; </w:t>
      </w:r>
      <w:r w:rsidRPr="00BA4295">
        <w:rPr>
          <w:u w:val="single"/>
        </w:rPr>
        <w:t>C.</w:t>
      </w:r>
      <w:r>
        <w:t xml:space="preserve">48:3-92; and </w:t>
      </w:r>
      <w:r w:rsidRPr="00BA4295">
        <w:rPr>
          <w:u w:val="single"/>
        </w:rPr>
        <w:t>C.</w:t>
      </w:r>
      <w:r>
        <w:t>48:3-94) shall be subject to the provisions of section 34 of P.L.1999, c.23 (C.48:3-83).</w:t>
      </w:r>
    </w:p>
    <w:p w:rsidR="00C451DA" w:rsidRDefault="00C451DA" w:rsidP="00C451DA">
      <w:r>
        <w:tab/>
        <w:t>(d)</w:t>
      </w:r>
      <w:r>
        <w:tab/>
        <w:t>The role of an electric public utility or a gas public utility in a government energy aggregation program established pursuant to P.L.1999, c.23 (C.48:3-49 et al.) shall be limited to the provisions of this paragraph.</w:t>
      </w:r>
    </w:p>
    <w:p w:rsidR="00C451DA" w:rsidRDefault="00C451DA" w:rsidP="00C451DA">
      <w:r>
        <w:tab/>
        <w:t>(3)</w:t>
      </w:r>
      <w:r>
        <w:tab/>
        <w:t>Whenever any individual proprietary information is disclosed, sold, or transferred, pursuant to paragraph (1) or paragraph (2) of this subsection, it shall be used only for the provision of continued electric generation service, electric related service, gas supply service, or gas related service to that customer. In the case of a transfer or sale of a business, customer consent shall not be required for the transfer of customer proprietary information to the subsequent owner of the business for maintaining the continuation of those services.</w:t>
      </w:r>
    </w:p>
    <w:p w:rsidR="00C451DA" w:rsidRDefault="00C451DA" w:rsidP="00C451DA">
      <w:r>
        <w:tab/>
        <w:t>(4)</w:t>
      </w:r>
      <w:r>
        <w:tab/>
        <w:t xml:space="preserve">Notwithstanding any provisions of the "Administrative Procedure Act," P.L.1968, c.410 (C.52:14B-1 et seq.) to the contrary, the board shall, within 90 days of the effective date of P.L.2003, c.24 (C.48:3-93.1 et al.), review existing regulations including, without limitation, Chapter 4 of Title 14 of the New Jersey Administrative Code (Energy Competition </w:t>
      </w:r>
      <w:r w:rsidRPr="005C6760">
        <w:rPr>
          <w:rFonts w:ascii="Albertus Extra Bold" w:hAnsi="Albertus Extra Bold"/>
          <w:b/>
        </w:rPr>
        <w:t>[</w:t>
      </w:r>
      <w:r>
        <w:t>Standards</w:t>
      </w:r>
      <w:r w:rsidRPr="005C6760">
        <w:rPr>
          <w:rFonts w:ascii="Albertus Extra Bold" w:hAnsi="Albertus Extra Bold"/>
          <w:b/>
        </w:rPr>
        <w:t>]</w:t>
      </w:r>
      <w:r>
        <w:t>), to determine their consistency with the provisions of section 36 of P.L.1999, c.23 (C.48:3-85), section 43 of P.L.1999, c.23 (C.48:3-92) and section 45 of P.L.1999, c.23 (C.48:3-94), repeal or modify any regulations that are inconsistent with the provisions thereof, and shall adopt regulations and standards implementing the provisions thereof permitting disclosure of customer information without the consent of the customer including, without limitation, provisions for the development of a board-approved agreement between the disclosing party and the receiving party and the creation of a mechanism for the recovery by the disclosing electric public utility or gas public utility of its reasonable incremental costs of providing the customer information if those costs are not covered in an existing third party supplier agreement.</w:t>
      </w:r>
    </w:p>
    <w:p w:rsidR="00C451DA" w:rsidRDefault="00C451DA" w:rsidP="00C451DA">
      <w:r>
        <w:lastRenderedPageBreak/>
        <w:tab/>
        <w:t>(5)</w:t>
      </w:r>
      <w:r>
        <w:tab/>
        <w:t>An electric power supplier, a gas supplier, a gas public utility, or an electric public utility may use individual proprietary information that it has obtained by virtue of its provision of electric generation service, electric related service, gas supply service, or gas related service to:</w:t>
      </w:r>
    </w:p>
    <w:p w:rsidR="00C451DA" w:rsidRDefault="00C451DA" w:rsidP="00C451DA">
      <w:r>
        <w:tab/>
        <w:t>(a)</w:t>
      </w:r>
      <w:r>
        <w:tab/>
        <w:t>Initiate, render, bill, and collect for these services to the extent otherwise authorized to provide billing and collection services;</w:t>
      </w:r>
    </w:p>
    <w:p w:rsidR="00C451DA" w:rsidRDefault="00C451DA" w:rsidP="00C451DA">
      <w:r>
        <w:tab/>
        <w:t>(b)</w:t>
      </w:r>
      <w:r>
        <w:tab/>
        <w:t>Protect the rights or property of the electric power supplier, gas supplier, or public utility; and</w:t>
      </w:r>
    </w:p>
    <w:p w:rsidR="00C451DA" w:rsidRDefault="00C451DA" w:rsidP="00C451DA">
      <w:r>
        <w:tab/>
        <w:t>(c)</w:t>
      </w:r>
      <w:r>
        <w:tab/>
        <w:t>Protect consumers of these services and other electric power suppliers, gas suppliers, or electric and gas public utilities from fraudulent, abusive, or unlawful use of, or subscription to, these services.</w:t>
      </w:r>
    </w:p>
    <w:p w:rsidR="00C451DA" w:rsidRDefault="00C451DA" w:rsidP="00C451DA">
      <w:r>
        <w:tab/>
        <w:t>c.</w:t>
      </w:r>
      <w:r>
        <w:tab/>
        <w:t xml:space="preserve">The board shall establish and maintain a database for the purpose of recording customer complaints concerning electric and gas public utilities, electric power suppliers, gas suppliers, private aggregators, and energy agents.  </w:t>
      </w:r>
      <w:r w:rsidRPr="000E5001">
        <w:rPr>
          <w:rFonts w:ascii="Albertus Extra Bold" w:hAnsi="Albertus Extra Bold"/>
          <w:b/>
          <w:vertAlign w:val="superscript"/>
        </w:rPr>
        <w:t>1</w:t>
      </w:r>
      <w:r w:rsidRPr="000E5001">
        <w:rPr>
          <w:u w:val="single"/>
        </w:rPr>
        <w:t>The board shall publish on its website on a quarterly basis a detailed report regarding customer complaints that shall not include the names or othe</w:t>
      </w:r>
      <w:r>
        <w:rPr>
          <w:u w:val="single"/>
        </w:rPr>
        <w:t>r personal information of</w:t>
      </w:r>
      <w:r w:rsidRPr="000E5001">
        <w:rPr>
          <w:u w:val="single"/>
        </w:rPr>
        <w:t xml:space="preserve"> the customers who complained, but shall include the names of the electric and gas public utilities, electric power suppliers, gas suppliers, private aggregators, and energy agents against which the complaints were filed.</w:t>
      </w:r>
      <w:r>
        <w:rPr>
          <w:rFonts w:ascii="Albertus Extra Bold" w:hAnsi="Albertus Extra Bold"/>
          <w:b/>
          <w:vertAlign w:val="superscript"/>
        </w:rPr>
        <w:t>1</w:t>
      </w:r>
    </w:p>
    <w:p w:rsidR="00C451DA" w:rsidRDefault="00C451DA" w:rsidP="00C451DA">
      <w:r>
        <w:tab/>
        <w:t>d.</w:t>
      </w:r>
      <w:r>
        <w:tab/>
        <w:t>The board, in consultation with the Division of Consumer Affairs in the Department of Law and Public Safety, shall establish, or cause to be established, a multi-lingual electric and gas consumer education program. The goal of the consumer education program shall be to educate residential, small business, and special needs consumers about the implications for consumers of the restructuring of the electric power and gas industries. The consumer education program shall include, but need not be limited to, the dissemination of information to enable consumers to make informed choices among available electricity and gas services and suppliers, and the communication to consumers of the consumer protection provisions of P.L.1999, c.23 (C.48:3-49 et al.).</w:t>
      </w:r>
    </w:p>
    <w:p w:rsidR="00C451DA" w:rsidRDefault="00C451DA" w:rsidP="00C451DA">
      <w:r>
        <w:tab/>
        <w:t>The board shall ensure the neutrality of the content and message of advertisements and materials.</w:t>
      </w:r>
    </w:p>
    <w:p w:rsidR="00C451DA" w:rsidRDefault="00C451DA" w:rsidP="00C451DA">
      <w:r>
        <w:tab/>
        <w:t>The board shall promulgate standards for the recovery of consumer education program costs from customers which include reasonable measures and criteria to judge the success of the program in enhancing customer understanding of retail choice.</w:t>
      </w:r>
    </w:p>
    <w:p w:rsidR="00C451DA" w:rsidRDefault="00C451DA" w:rsidP="00C451DA">
      <w:r>
        <w:tab/>
        <w:t>e.</w:t>
      </w:r>
      <w:r>
        <w:tab/>
        <w:t>(Deleted by amendment, P.L.2003, c.24)</w:t>
      </w:r>
      <w:r>
        <w:rPr>
          <w:rFonts w:ascii="Albertus Extra Bold" w:hAnsi="Albertus Extra Bold"/>
          <w:b/>
          <w:vertAlign w:val="superscript"/>
        </w:rPr>
        <w:t>1</w:t>
      </w:r>
      <w:r w:rsidRPr="00C4005A">
        <w:rPr>
          <w:rFonts w:ascii="Albertus Extra Bold" w:hAnsi="Albertus Extra Bold"/>
          <w:b/>
        </w:rPr>
        <w:t>[</w:t>
      </w:r>
      <w:r>
        <w:t>.</w:t>
      </w:r>
      <w:r w:rsidRPr="00C4005A">
        <w:rPr>
          <w:rFonts w:ascii="Albertus Extra Bold" w:hAnsi="Albertus Extra Bold"/>
          <w:b/>
        </w:rPr>
        <w:t>]</w:t>
      </w:r>
      <w:r>
        <w:rPr>
          <w:rFonts w:ascii="Albertus Extra Bold" w:hAnsi="Albertus Extra Bold"/>
          <w:b/>
          <w:vertAlign w:val="superscript"/>
        </w:rPr>
        <w:t>1</w:t>
      </w:r>
    </w:p>
    <w:p w:rsidR="00C451DA" w:rsidRDefault="00C451DA" w:rsidP="00C451DA">
      <w:r>
        <w:tab/>
        <w:t>f.</w:t>
      </w:r>
      <w:r>
        <w:tab/>
        <w:t xml:space="preserve">(1) </w:t>
      </w:r>
      <w:r w:rsidR="00992817">
        <w:t xml:space="preserve"> </w:t>
      </w:r>
      <w:r>
        <w:t xml:space="preserve">In addition to the advertising standards adopted by the board pursuant to paragraph (3) of subsection a. of this section, the board, in consultation with the Division of Consumer Affairs in the Department of Law and Public Safety, shall adopt, pursuant to the </w:t>
      </w:r>
      <w:r>
        <w:lastRenderedPageBreak/>
        <w:t>"Administrative Procedure Act," P.L.1968, c.410 (C.52:14B-1</w:t>
      </w:r>
      <w:r w:rsidR="001207ED">
        <w:t> </w:t>
      </w:r>
      <w:r>
        <w:t>et</w:t>
      </w:r>
      <w:r w:rsidR="001207ED">
        <w:t> </w:t>
      </w:r>
      <w:r>
        <w:t>seq.)</w:t>
      </w:r>
      <w:r w:rsidR="001207ED">
        <w:t> </w:t>
      </w:r>
      <w:r>
        <w:t>interim advertising and marketing standards for electric power suppliers, gas suppliers, brokers, energy agents, marketers, private aggregators, sales representatives, and telemarketers applicable to potential residential customers, within 270 days of the effective date of P.L.2013, c.263, which standards shall include, but not be limited to, prohibiting electric power suppliers, gas suppliers, brokers, energy agents, marketers, private aggregators, sales representatives, and telemarketers from: (a) making false or misleading advertising claims to a potential residential customer; or (b) contacting a potential residential customer by telephone for the purpose of making an unsolicited advertisement if the electric power supplier, gas supplier, broker, energy agent, marketer, private aggregator, sales representative, or telemarketer does not have an existing business relationship with the potential residential customer and the residential customer's telephone number appears on the no telemarketing call list established and maintained by the Division of Consumer Affairs, pursuant to the provisions of section 9 of P.L.2003, c.76 (C.56:8-127), or the national do-not-call registry as maintained by the Federal Trade Commission. The standards shall be effective as regulations immediately upon filing with the Office of Administrative Law and shall be effective for a period not to exceed 18 months, and may, thereafter, be amended, adopted, or readopted by the board in accordance with the provisions of the "Administrative Procedure Act," P.L.1968, c.410 (C.52:14B-1</w:t>
      </w:r>
      <w:r w:rsidR="00992817">
        <w:t> </w:t>
      </w:r>
      <w:r>
        <w:t>et</w:t>
      </w:r>
      <w:r w:rsidR="00992817">
        <w:t> </w:t>
      </w:r>
      <w:r>
        <w:t>seq.).</w:t>
      </w:r>
    </w:p>
    <w:p w:rsidR="00C451DA" w:rsidRDefault="00C451DA" w:rsidP="00C451DA">
      <w:r>
        <w:tab/>
        <w:t>(2)</w:t>
      </w:r>
      <w:r>
        <w:tab/>
        <w:t xml:space="preserve">In addition to any other penalties, fines, or remedies authorized by law, an electric power supplier, gas supplier, broker, energy agent, marketer, private aggregator, sales representative, or telemarketer that violates subparagraph (a) of paragraph (1) of this subsection and collects charges for electric generation service or gas supply service supplied to a residential customer, who was subjected to false or misleading advertising claims by the electric power supplier, gas supplier, broker, energy agent, marketer, private aggregator, sales representative, or telemarketer in violation of subparagraph (a) of paragraph (1) of this subsection, shall be liable to the residential customer in an amount equal to all charges paid by the residential customer after such violation occurs in accordance with any procedures as the board may prescribe, whether the electric power supplier or gas supplier provided the electric generation service or gas supply service to that customer, or the electric generation service or gas supply service was provided to the customer by a broker, energy agent, marketer, private aggregator, sales representative, or telemarketer who contacted the customer on behalf of the electric power supplier or gas supplier.  An electric power supplier, gas supplier, broker, energy agent, marketer, private aggregator, sales representative, or telemarketer </w:t>
      </w:r>
      <w:r>
        <w:lastRenderedPageBreak/>
        <w:t>that violates this subsection shall also be liable for a civil penalty pursuant to section 34 of P.L.1999, c.23 (C.48:3-83).  The board is hereby authorized to revoke the license of any electric power supplier, gas supplier, broker, energy agent, marketer, or private aggregator that violates this subsection.</w:t>
      </w:r>
    </w:p>
    <w:p w:rsidR="00C451DA" w:rsidRDefault="00C451DA" w:rsidP="00C451DA">
      <w:r>
        <w:t>(</w:t>
      </w:r>
      <w:proofErr w:type="spellStart"/>
      <w:r>
        <w:t>cf</w:t>
      </w:r>
      <w:proofErr w:type="spellEnd"/>
      <w:r>
        <w:t>: P.L.2015, c.164, s.1)</w:t>
      </w:r>
    </w:p>
    <w:p w:rsidR="00C451DA" w:rsidRDefault="00C451DA" w:rsidP="00C451DA"/>
    <w:p w:rsidR="00C451DA" w:rsidRDefault="00C451DA" w:rsidP="00C451DA">
      <w:r>
        <w:tab/>
        <w:t>2.</w:t>
      </w:r>
      <w:r>
        <w:tab/>
        <w:t>Section 37 of P.L.1999, c.23 (C.48:3-86) is amended to read as follows:</w:t>
      </w:r>
    </w:p>
    <w:p w:rsidR="00C451DA" w:rsidRDefault="00C451DA" w:rsidP="00C451DA">
      <w:pPr>
        <w:tabs>
          <w:tab w:val="clear" w:pos="1440"/>
          <w:tab w:val="left" w:pos="1080"/>
        </w:tabs>
      </w:pPr>
      <w:r>
        <w:tab/>
        <w:t>37.</w:t>
      </w:r>
      <w:r>
        <w:tab/>
        <w:t>a.</w:t>
      </w:r>
      <w:r>
        <w:tab/>
        <w:t xml:space="preserve">Notwithstanding any provisions of the "Administrative Procedure Act," P.L.1968, c.410 (C.52:14B-1 et seq.) to the contrary, the board, in consultation with the Division of Consumer Affairs in the Department of Law and Public Safety, shall initiate a proceeding and shall adopt, after notice, provision of the opportunity for comment, and public hearing, interim standards for electric power suppliers or gas suppliers, within 90 days of February 9, 1999, to prevent and establish penalties for unauthorized changes of a consumer's electric power supplier or gas supplier, a practice commonly known as "slamming." Such standards shall be effective as regulations immediately upon filing with the Office of Administrative Law and shall be effective for a period not to exceed 18 months, and may, thereafter, be amended, adopted or readopted by the board in accordance with the provisions of the "Administrative Procedure Act." </w:t>
      </w:r>
    </w:p>
    <w:p w:rsidR="00C451DA" w:rsidRDefault="00C451DA" w:rsidP="00C451DA">
      <w:r>
        <w:tab/>
        <w:t>b.</w:t>
      </w:r>
      <w:r>
        <w:tab/>
        <w:t xml:space="preserve">Standards for the prohibition of unauthorized changes in a customer's electric power supplier or gas supplier shall include: </w:t>
      </w:r>
    </w:p>
    <w:p w:rsidR="00C451DA" w:rsidRDefault="00C451DA" w:rsidP="00C451DA">
      <w:r>
        <w:tab/>
        <w:t>(1)</w:t>
      </w:r>
      <w:r>
        <w:tab/>
        <w:t xml:space="preserve">An electric power supplier, an electric public utility, a gas supplier or a gas public utility shall not cause an unauthorized change in a customer's electric power supplier or gas supplier, a practice known as "slamming." A change in a customer's electric power supplier or gas supplier shall be deemed to be unauthorized unless the customer has done so affirmatively and voluntarily and the </w:t>
      </w:r>
      <w:r w:rsidRPr="00F119D4">
        <w:rPr>
          <w:u w:val="single"/>
        </w:rPr>
        <w:t>electric power</w:t>
      </w:r>
      <w:r>
        <w:t xml:space="preserve"> supplier </w:t>
      </w:r>
      <w:r w:rsidRPr="00D92BC5">
        <w:rPr>
          <w:u w:val="single"/>
        </w:rPr>
        <w:t>or gas supplier</w:t>
      </w:r>
      <w:r>
        <w:t xml:space="preserve"> has obtained the customer's approval, which approval shall be evidenced by the customer's written signature </w:t>
      </w:r>
      <w:r w:rsidRPr="00AD06A7">
        <w:rPr>
          <w:rFonts w:ascii="Albertus Extra Bold" w:hAnsi="Albertus Extra Bold"/>
          <w:b/>
        </w:rPr>
        <w:t>[</w:t>
      </w:r>
      <w:r>
        <w:t>; the customer's electronic signature; an audio recording of a telephone call initiated by the customer; independent, third-party verification, in accordance with paragraph (2) of this subsection, of a telephone call initiated by an electric power supplier, electric public utility, gas supplier or gas public utility; or such alternative forms of verification as the board, in consultation with the Division of Consumer Affairs, may permit</w:t>
      </w:r>
      <w:r w:rsidRPr="00972DFF">
        <w:rPr>
          <w:rFonts w:ascii="Albertus Extra Bold" w:hAnsi="Albertus Extra Bold"/>
          <w:b/>
        </w:rPr>
        <w:t>]</w:t>
      </w:r>
      <w:r>
        <w:t xml:space="preserve"> </w:t>
      </w:r>
      <w:r w:rsidRPr="00107D57">
        <w:rPr>
          <w:u w:val="single"/>
        </w:rPr>
        <w:t>or electronic signature</w:t>
      </w:r>
      <w:r w:rsidRPr="00D55E61">
        <w:t xml:space="preserve"> </w:t>
      </w:r>
      <w:r w:rsidRPr="001C19BE">
        <w:rPr>
          <w:rFonts w:ascii="Albertus Extra Bold" w:hAnsi="Albertus Extra Bold"/>
          <w:b/>
          <w:vertAlign w:val="superscript"/>
        </w:rPr>
        <w:t>1</w:t>
      </w:r>
      <w:r>
        <w:rPr>
          <w:u w:val="single"/>
        </w:rPr>
        <w:t>; a</w:t>
      </w:r>
      <w:r w:rsidRPr="001C19BE">
        <w:rPr>
          <w:u w:val="single"/>
        </w:rPr>
        <w:t xml:space="preserve">n audio recording of a telephone </w:t>
      </w:r>
      <w:r>
        <w:rPr>
          <w:u w:val="single"/>
        </w:rPr>
        <w:t xml:space="preserve">call initiated by the customer; </w:t>
      </w:r>
      <w:r w:rsidRPr="001C19BE">
        <w:rPr>
          <w:u w:val="single"/>
        </w:rPr>
        <w:t xml:space="preserve">independent, third-party verification, in accordance with section 37 of P.L.1999, c.23 (C.48:3-86), of a telephone call initiated by an electric power supplier, gas supplier, or private aggregator; or any alternative forms of verification as the board, in consultation with the Division of Consumer Affairs in the </w:t>
      </w:r>
      <w:r w:rsidRPr="001C19BE">
        <w:rPr>
          <w:u w:val="single"/>
        </w:rPr>
        <w:lastRenderedPageBreak/>
        <w:t>Department of Law and Public Safety, may permit</w:t>
      </w:r>
      <w:r w:rsidRPr="001C19BE">
        <w:rPr>
          <w:rFonts w:ascii="Albertus Extra Bold" w:hAnsi="Albertus Extra Bold"/>
          <w:b/>
          <w:vertAlign w:val="superscript"/>
        </w:rPr>
        <w:t>1</w:t>
      </w:r>
      <w:r w:rsidRPr="00D55E61">
        <w:t xml:space="preserve"> </w:t>
      </w:r>
      <w:r w:rsidRPr="00D14691">
        <w:rPr>
          <w:u w:val="single"/>
        </w:rPr>
        <w:t>prior to</w:t>
      </w:r>
      <w:r w:rsidRPr="00972DFF">
        <w:rPr>
          <w:u w:val="single"/>
        </w:rPr>
        <w:t xml:space="preserve"> switching electric power suppliers or gas suppliers and for contract renewal</w:t>
      </w:r>
      <w:r>
        <w:t xml:space="preserve">; </w:t>
      </w:r>
    </w:p>
    <w:p w:rsidR="00C451DA" w:rsidRDefault="00C451DA" w:rsidP="00C451DA">
      <w:pPr>
        <w:tabs>
          <w:tab w:val="clear" w:pos="1440"/>
          <w:tab w:val="left" w:pos="1260"/>
        </w:tabs>
      </w:pPr>
      <w:r>
        <w:tab/>
      </w:r>
      <w:r w:rsidRPr="003C1837">
        <w:t>(2)</w:t>
      </w:r>
      <w:r>
        <w:tab/>
      </w:r>
      <w:r w:rsidRPr="003C1837">
        <w:rPr>
          <w:rFonts w:ascii="Albertus Extra Bold" w:hAnsi="Albertus Extra Bold"/>
          <w:b/>
        </w:rPr>
        <w:t>[</w:t>
      </w:r>
      <w:r>
        <w:t>(a)</w:t>
      </w:r>
      <w:r>
        <w:tab/>
        <w:t>A company performing independent, third-party verification shall: (i) be independent from the entity that seeks to provide the new service; (ii) not be directly or indirectly managed, controlled, directed or owned, wholly or in part, by the entity that seeks to provide the new service, or by any affiliate of that entity; (iii) operate from facilities physically separate from those of the entity that seeks to provide the new service; and (iv) not derive any commission or compensation based upon the number of sales confirmed;</w:t>
      </w:r>
    </w:p>
    <w:p w:rsidR="00C451DA" w:rsidRDefault="00C451DA" w:rsidP="00C451DA">
      <w:pPr>
        <w:tabs>
          <w:tab w:val="clear" w:pos="1440"/>
          <w:tab w:val="left" w:pos="1260"/>
        </w:tabs>
        <w:rPr>
          <w:u w:val="single"/>
        </w:rPr>
      </w:pPr>
      <w:r>
        <w:tab/>
        <w:t>(b)</w:t>
      </w:r>
      <w:r>
        <w:tab/>
        <w:t>A company performing independent, third-party verification shall obtain a customer's oral confirmation regarding the change and shall record that confirmation by obtaining appropriate verification data. The record shall be available to the customer upon request. Information obtained from a customer through confirmation shall not be used for marketing purposes;</w:t>
      </w:r>
      <w:r w:rsidRPr="00972DFF">
        <w:rPr>
          <w:rFonts w:ascii="Albertus Extra Bold" w:hAnsi="Albertus Extra Bold"/>
          <w:b/>
        </w:rPr>
        <w:t>]</w:t>
      </w:r>
      <w:r>
        <w:t xml:space="preserve"> </w:t>
      </w:r>
      <w:r>
        <w:rPr>
          <w:rFonts w:ascii="Albertus Extra Bold" w:hAnsi="Albertus Extra Bold"/>
          <w:b/>
          <w:vertAlign w:val="superscript"/>
        </w:rPr>
        <w:t>1</w:t>
      </w:r>
      <w:r w:rsidRPr="006F5D64">
        <w:rPr>
          <w:rFonts w:ascii="Albertus Extra Bold" w:hAnsi="Albertus Extra Bold"/>
          <w:b/>
        </w:rPr>
        <w:t>[</w:t>
      </w:r>
      <w:r w:rsidRPr="00972DFF">
        <w:rPr>
          <w:u w:val="single"/>
        </w:rPr>
        <w:t>(Deleted by amendment, P.L.</w:t>
      </w:r>
      <w:r>
        <w:rPr>
          <w:u w:val="single"/>
        </w:rPr>
        <w:t>    </w:t>
      </w:r>
      <w:r w:rsidRPr="00972DFF">
        <w:rPr>
          <w:u w:val="single"/>
        </w:rPr>
        <w:t>,</w:t>
      </w:r>
      <w:r>
        <w:rPr>
          <w:u w:val="single"/>
        </w:rPr>
        <w:t> </w:t>
      </w:r>
      <w:r w:rsidRPr="00972DFF">
        <w:rPr>
          <w:u w:val="single"/>
        </w:rPr>
        <w:t>c.</w:t>
      </w:r>
      <w:r>
        <w:rPr>
          <w:u w:val="single"/>
        </w:rPr>
        <w:t>    </w:t>
      </w:r>
      <w:r w:rsidRPr="00972DFF">
        <w:rPr>
          <w:u w:val="single"/>
        </w:rPr>
        <w:t>)</w:t>
      </w:r>
      <w:r>
        <w:rPr>
          <w:u w:val="single"/>
        </w:rPr>
        <w:t> </w:t>
      </w:r>
      <w:r w:rsidRPr="00972DFF">
        <w:rPr>
          <w:u w:val="single"/>
        </w:rPr>
        <w:t>(pending</w:t>
      </w:r>
      <w:r>
        <w:rPr>
          <w:u w:val="single"/>
        </w:rPr>
        <w:t> </w:t>
      </w:r>
      <w:r w:rsidRPr="00972DFF">
        <w:rPr>
          <w:u w:val="single"/>
        </w:rPr>
        <w:t>before</w:t>
      </w:r>
      <w:r>
        <w:rPr>
          <w:u w:val="single"/>
        </w:rPr>
        <w:t> </w:t>
      </w:r>
      <w:r w:rsidRPr="00972DFF">
        <w:rPr>
          <w:u w:val="single"/>
        </w:rPr>
        <w:t>the</w:t>
      </w:r>
      <w:r>
        <w:rPr>
          <w:u w:val="single"/>
        </w:rPr>
        <w:t> </w:t>
      </w:r>
      <w:r w:rsidRPr="00972DFF">
        <w:rPr>
          <w:u w:val="single"/>
        </w:rPr>
        <w:t>Legislature</w:t>
      </w:r>
      <w:r>
        <w:rPr>
          <w:u w:val="single"/>
        </w:rPr>
        <w:t> </w:t>
      </w:r>
      <w:r w:rsidRPr="00972DFF">
        <w:rPr>
          <w:u w:val="single"/>
        </w:rPr>
        <w:t>as</w:t>
      </w:r>
      <w:r>
        <w:rPr>
          <w:u w:val="single"/>
        </w:rPr>
        <w:t> </w:t>
      </w:r>
      <w:r w:rsidRPr="00972DFF">
        <w:rPr>
          <w:u w:val="single"/>
        </w:rPr>
        <w:t>this</w:t>
      </w:r>
      <w:r>
        <w:rPr>
          <w:u w:val="single"/>
        </w:rPr>
        <w:t> </w:t>
      </w:r>
      <w:r w:rsidRPr="00972DFF">
        <w:rPr>
          <w:u w:val="single"/>
        </w:rPr>
        <w:t>bill)</w:t>
      </w:r>
      <w:r w:rsidRPr="00D55E61">
        <w:rPr>
          <w:rFonts w:ascii="Albertus Extra Bold" w:hAnsi="Albertus Extra Bold"/>
          <w:b/>
        </w:rPr>
        <w:t>]</w:t>
      </w:r>
      <w:r>
        <w:t xml:space="preserve"> </w:t>
      </w:r>
      <w:r w:rsidRPr="00D55E61">
        <w:rPr>
          <w:u w:val="single"/>
        </w:rPr>
        <w:t>(a)</w:t>
      </w:r>
      <w:r w:rsidRPr="00D55E61">
        <w:rPr>
          <w:u w:val="single"/>
        </w:rPr>
        <w:tab/>
        <w:t>A company performing independent, third-party verification shall: (i) be independent from the entity that seeks to provide the new service; (ii) not be directly or indirectly managed, controlled, directed or owned, wholly or in part, by the entity that seeks to provide the new service, or by any affiliate of that entity; (iii) operate from facilities physically separate from those of the entity that seeks to provide the new service; and (iv) not derive any commission or compensation based upon the number of sales confirmed;</w:t>
      </w:r>
    </w:p>
    <w:p w:rsidR="00C451DA" w:rsidRDefault="00C451DA" w:rsidP="00C451DA">
      <w:pPr>
        <w:tabs>
          <w:tab w:val="clear" w:pos="1440"/>
          <w:tab w:val="left" w:pos="1260"/>
        </w:tabs>
      </w:pPr>
      <w:r w:rsidRPr="00861C97">
        <w:tab/>
      </w:r>
      <w:r w:rsidRPr="00861C97">
        <w:rPr>
          <w:u w:val="single"/>
        </w:rPr>
        <w:t>(b)</w:t>
      </w:r>
      <w:r w:rsidRPr="00861C97">
        <w:rPr>
          <w:u w:val="single"/>
        </w:rPr>
        <w:tab/>
        <w:t>A company performing independent, third-party verification shall obtain a customer's oral confirmation regarding the change and shall record that confirmation by obtaining appropriate verification data. The record shall be available to the customer upon request. Information obtained from a customer through confirmation shall not be used for marketing purposes;</w:t>
      </w:r>
      <w:r w:rsidRPr="00D55E61">
        <w:rPr>
          <w:rFonts w:ascii="Albertus Extra Bold" w:hAnsi="Albertus Extra Bold"/>
          <w:b/>
          <w:vertAlign w:val="superscript"/>
        </w:rPr>
        <w:t>1</w:t>
      </w:r>
    </w:p>
    <w:p w:rsidR="00C451DA" w:rsidRDefault="00C451DA" w:rsidP="00C451DA">
      <w:r>
        <w:tab/>
        <w:t>(3)</w:t>
      </w:r>
      <w:r>
        <w:tab/>
        <w:t xml:space="preserve">An electric power supplier, an electric public utility, a gas supplier or a gas public utility shall not fail to cause a change in a customer's electric power supplier or gas supplier, within a period of time determined to be appropriate by the board, when a supplier or utility is in receipt of a change order provided that such change order has been received in a manner that complies with federal and State rules and regulations, including as provided in this subsection; </w:t>
      </w:r>
    </w:p>
    <w:p w:rsidR="00C451DA" w:rsidRDefault="00C451DA" w:rsidP="00C451DA">
      <w:r>
        <w:tab/>
        <w:t>(4)</w:t>
      </w:r>
      <w:r>
        <w:tab/>
        <w:t xml:space="preserve">The acts of an agent of an electric power supplier, an electric public utility, a gas supplier or a gas public utility shall be considered the acts of the electric power supplier, electric public utility, gas supplier or gas public utility. </w:t>
      </w:r>
    </w:p>
    <w:p w:rsidR="00C451DA" w:rsidRDefault="00C451DA" w:rsidP="00C451DA">
      <w:r>
        <w:tab/>
        <w:t>c.</w:t>
      </w:r>
      <w:r>
        <w:tab/>
        <w:t xml:space="preserve">A customer's new electric power supplier, electric public utility, gas supplier or gas public utility shall notify the customer of </w:t>
      </w:r>
      <w:r>
        <w:lastRenderedPageBreak/>
        <w:t xml:space="preserve">the change in the customer's electric or gas supplier within 30 days in a manner to be determined by the board. </w:t>
      </w:r>
    </w:p>
    <w:p w:rsidR="00C451DA" w:rsidRDefault="00C451DA" w:rsidP="00C451DA">
      <w:r>
        <w:tab/>
        <w:t>d.</w:t>
      </w:r>
      <w:r>
        <w:tab/>
        <w:t xml:space="preserve">Bills to customers from an electric power supplier, electric public utility, gas supplier or gas public utility shall contain the name and telephone number of each supplier for whom billing is provided, </w:t>
      </w:r>
      <w:r>
        <w:rPr>
          <w:rFonts w:ascii="Albertus Extra Bold" w:hAnsi="Albertus Extra Bold"/>
          <w:b/>
          <w:vertAlign w:val="superscript"/>
        </w:rPr>
        <w:t>1</w:t>
      </w:r>
      <w:r w:rsidRPr="00B03DED">
        <w:rPr>
          <w:u w:val="single"/>
        </w:rPr>
        <w:t>the phone number and website for filing complaints with the Board of Public Utilities, Division of Customer Assistance,</w:t>
      </w:r>
      <w:r>
        <w:rPr>
          <w:rFonts w:ascii="Albertus Extra Bold" w:hAnsi="Albertus Extra Bold"/>
          <w:b/>
          <w:vertAlign w:val="superscript"/>
        </w:rPr>
        <w:t>1</w:t>
      </w:r>
      <w:r>
        <w:t xml:space="preserve"> and any other information deemed applicable by the board. </w:t>
      </w:r>
    </w:p>
    <w:p w:rsidR="00C451DA" w:rsidRDefault="00C451DA" w:rsidP="00C451DA">
      <w:r>
        <w:tab/>
        <w:t>e.</w:t>
      </w:r>
      <w:r>
        <w:tab/>
        <w:t>In addition to any other penalties, fines or remedies authorized by law, any electric power supplier, electric public utility, gas supplier or gas public utility that violates this section and collects charges for electric power supply or gas supply services from a customer or through an entity providing customer account services shall be liable to the electric power supplier, electric public utility, gas supplier or gas public utility previously selected by the customer in an amount equal to all charges paid by the customer after such violation in accordance with such procedures as the board may prescribe.  Any electric power supplier, electric public utility, gas supplier or gas public utility that violates this section shall also be liable for a civil penalty pursuant to section 34 of P.L.1999, c.23 (C.48:3-83); and the board is hereby authorized to revoke the license of any entity that violates this section.</w:t>
      </w:r>
    </w:p>
    <w:p w:rsidR="00C451DA" w:rsidRDefault="00C451DA" w:rsidP="00C451DA">
      <w:r>
        <w:t>(</w:t>
      </w:r>
      <w:proofErr w:type="spellStart"/>
      <w:r>
        <w:t>cf</w:t>
      </w:r>
      <w:proofErr w:type="spellEnd"/>
      <w:r>
        <w:t>: P.L.2001, c.242, s.3)</w:t>
      </w:r>
    </w:p>
    <w:p w:rsidR="00F9085E" w:rsidRDefault="00F9085E" w:rsidP="00F9085E"/>
    <w:p w:rsidR="001207ED" w:rsidRPr="00510062" w:rsidRDefault="001207ED" w:rsidP="001207ED">
      <w:r>
        <w:tab/>
      </w:r>
      <w:r w:rsidRPr="00510062">
        <w:t>3.</w:t>
      </w:r>
      <w:r w:rsidRPr="00510062">
        <w:tab/>
        <w:t>Section 41 of P.L.1999, c.23 (C.48:3-90) is amended to read as follows:</w:t>
      </w:r>
    </w:p>
    <w:p w:rsidR="001207ED" w:rsidRPr="00510062" w:rsidRDefault="001207ED" w:rsidP="001207ED">
      <w:pPr>
        <w:tabs>
          <w:tab w:val="clear" w:pos="1440"/>
          <w:tab w:val="left" w:pos="1080"/>
        </w:tabs>
      </w:pPr>
      <w:r w:rsidRPr="00510062">
        <w:tab/>
        <w:t>41.</w:t>
      </w:r>
      <w:r w:rsidRPr="00510062">
        <w:tab/>
        <w:t>a.</w:t>
      </w:r>
      <w:r w:rsidRPr="00510062">
        <w:tab/>
        <w:t>A private aggregator shall register with the board, which shall include the filing of basic information pertaining to the supplier, such as name, address, telephone number, and company background and profile. A private aggregator shall provide annual updates of this information to the board. The registration shall also include evidence of financial integrity, as determined by the board, and evidence that the private aggregator has knowledge of the energy industry.</w:t>
      </w:r>
    </w:p>
    <w:p w:rsidR="001207ED" w:rsidRPr="00510062" w:rsidRDefault="001207ED" w:rsidP="001207ED">
      <w:r w:rsidRPr="00510062">
        <w:tab/>
        <w:t>b.</w:t>
      </w:r>
      <w:r w:rsidRPr="00510062">
        <w:tab/>
        <w:t xml:space="preserve">Any residential customer that elects to purchase electric generation service or gas supply service, after the implementation of gas unbundling pursuant to section 10 of P.L.1999, c.23 (C.48:3-58), through a private aggregator must do so affirmatively and voluntarily, </w:t>
      </w:r>
      <w:r w:rsidRPr="00510062">
        <w:rPr>
          <w:rFonts w:ascii="Albertus Extra Bold" w:hAnsi="Albertus Extra Bold"/>
          <w:b/>
        </w:rPr>
        <w:t>[</w:t>
      </w:r>
      <w:r w:rsidRPr="00510062">
        <w:t>either</w:t>
      </w:r>
      <w:r w:rsidRPr="00510062">
        <w:rPr>
          <w:rFonts w:ascii="Albertus Extra Bold" w:hAnsi="Albertus Extra Bold"/>
          <w:b/>
        </w:rPr>
        <w:t>]</w:t>
      </w:r>
      <w:r w:rsidRPr="00510062">
        <w:t xml:space="preserve"> </w:t>
      </w:r>
      <w:r>
        <w:rPr>
          <w:rFonts w:ascii="Albertus Extra Bold" w:hAnsi="Albertus Extra Bold"/>
          <w:b/>
          <w:vertAlign w:val="superscript"/>
        </w:rPr>
        <w:t>1</w:t>
      </w:r>
      <w:r w:rsidRPr="00510062">
        <w:rPr>
          <w:u w:val="single"/>
        </w:rPr>
        <w:t>either</w:t>
      </w:r>
      <w:r>
        <w:rPr>
          <w:rFonts w:ascii="Albertus Extra Bold" w:hAnsi="Albertus Extra Bold"/>
          <w:b/>
          <w:vertAlign w:val="superscript"/>
        </w:rPr>
        <w:t xml:space="preserve">1 </w:t>
      </w:r>
      <w:r w:rsidRPr="00510062">
        <w:t xml:space="preserve">through </w:t>
      </w:r>
      <w:r w:rsidRPr="00510062">
        <w:rPr>
          <w:rFonts w:ascii="Albertus Extra Bold" w:hAnsi="Albertus Extra Bold"/>
          <w:b/>
        </w:rPr>
        <w:t>[</w:t>
      </w:r>
      <w:r w:rsidRPr="00510062">
        <w:t>a</w:t>
      </w:r>
      <w:r w:rsidRPr="00510062">
        <w:rPr>
          <w:rFonts w:ascii="Albertus Extra Bold" w:hAnsi="Albertus Extra Bold"/>
          <w:b/>
        </w:rPr>
        <w:t>]</w:t>
      </w:r>
      <w:r w:rsidRPr="00510062">
        <w:t xml:space="preserve"> </w:t>
      </w:r>
      <w:r w:rsidRPr="00510062">
        <w:rPr>
          <w:u w:val="single"/>
        </w:rPr>
        <w:t>the customer’s</w:t>
      </w:r>
      <w:r w:rsidRPr="00510062">
        <w:t xml:space="preserve"> written signature </w:t>
      </w:r>
      <w:r w:rsidRPr="00510062">
        <w:rPr>
          <w:rFonts w:ascii="Albertus Extra Bold" w:hAnsi="Albertus Extra Bold"/>
          <w:b/>
        </w:rPr>
        <w:t>[</w:t>
      </w:r>
      <w:r w:rsidRPr="00510062">
        <w:t>; the customer's electronic signature; an audio recording of a telephone call initiated by the customer; independent, third-party verification, in accordance with section 37 of P.L.1999, c.23 (C.48:3-86), of a telephone call initiated by a private aggregator; or such alternative forms of verification as the board, in consultation with the Division of Consumer Affairs in the Department of Law and Public Safety, may permit</w:t>
      </w:r>
      <w:r w:rsidRPr="00510062">
        <w:rPr>
          <w:rFonts w:ascii="Albertus Extra Bold" w:hAnsi="Albertus Extra Bold"/>
          <w:b/>
        </w:rPr>
        <w:t>]</w:t>
      </w:r>
      <w:r w:rsidRPr="00510062">
        <w:t xml:space="preserve"> </w:t>
      </w:r>
      <w:r w:rsidRPr="00510062">
        <w:rPr>
          <w:u w:val="single"/>
        </w:rPr>
        <w:t>or electronic signature</w:t>
      </w:r>
      <w:r w:rsidRPr="00510062">
        <w:t xml:space="preserve"> </w:t>
      </w:r>
      <w:r w:rsidRPr="001C19BE">
        <w:rPr>
          <w:rFonts w:ascii="Albertus Extra Bold" w:hAnsi="Albertus Extra Bold"/>
          <w:b/>
          <w:vertAlign w:val="superscript"/>
        </w:rPr>
        <w:t>1</w:t>
      </w:r>
      <w:r>
        <w:rPr>
          <w:u w:val="single"/>
        </w:rPr>
        <w:t>; a</w:t>
      </w:r>
      <w:r w:rsidRPr="001C19BE">
        <w:rPr>
          <w:u w:val="single"/>
        </w:rPr>
        <w:t xml:space="preserve">n audio </w:t>
      </w:r>
      <w:r w:rsidRPr="001C19BE">
        <w:rPr>
          <w:u w:val="single"/>
        </w:rPr>
        <w:lastRenderedPageBreak/>
        <w:t xml:space="preserve">recording of a telephone </w:t>
      </w:r>
      <w:r>
        <w:rPr>
          <w:u w:val="single"/>
        </w:rPr>
        <w:t xml:space="preserve">call initiated by the customer; </w:t>
      </w:r>
      <w:r w:rsidRPr="001C19BE">
        <w:rPr>
          <w:u w:val="single"/>
        </w:rPr>
        <w:t>independent, third-party verification, in accordance with section 37 of P.L.1999, c.23 (C.48:3-86), of a telephone call initiated by an electric power supplier, gas supplier, or private aggregator; or any alternative forms of verification as the board, in consultation with the Division of Consumer Affairs in the Department of Law and Public Safety, may permit</w:t>
      </w:r>
      <w:r w:rsidRPr="00510062">
        <w:rPr>
          <w:rFonts w:ascii="Albertus Extra Bold" w:hAnsi="Albertus Extra Bold"/>
          <w:b/>
          <w:vertAlign w:val="superscript"/>
        </w:rPr>
        <w:t>1</w:t>
      </w:r>
      <w:r w:rsidRPr="00510062">
        <w:t xml:space="preserve"> </w:t>
      </w:r>
      <w:r w:rsidRPr="00510062">
        <w:rPr>
          <w:u w:val="single"/>
        </w:rPr>
        <w:t>prior to switching electric power suppliers or gas suppliers and for contract renewal</w:t>
      </w:r>
      <w:r w:rsidRPr="00510062">
        <w:t>.</w:t>
      </w:r>
    </w:p>
    <w:p w:rsidR="001207ED" w:rsidRDefault="001207ED" w:rsidP="001207ED">
      <w:r w:rsidRPr="00510062">
        <w:t>(</w:t>
      </w:r>
      <w:proofErr w:type="spellStart"/>
      <w:r w:rsidRPr="00510062">
        <w:t>cf</w:t>
      </w:r>
      <w:proofErr w:type="spellEnd"/>
      <w:r w:rsidRPr="00510062">
        <w:t>: P.L.2001, c.242, s.4)</w:t>
      </w:r>
    </w:p>
    <w:p w:rsidR="001207ED" w:rsidRDefault="001207ED" w:rsidP="001207ED"/>
    <w:p w:rsidR="001207ED" w:rsidRPr="00397C13" w:rsidRDefault="001207ED" w:rsidP="001207ED">
      <w:r>
        <w:tab/>
      </w:r>
      <w:r w:rsidRPr="00397C13">
        <w:t>4.</w:t>
      </w:r>
      <w:r w:rsidRPr="00397C13">
        <w:tab/>
        <w:t xml:space="preserve">This act shall take effect </w:t>
      </w:r>
      <w:r>
        <w:rPr>
          <w:rFonts w:ascii="Albertus Extra Bold" w:hAnsi="Albertus Extra Bold"/>
          <w:b/>
          <w:vertAlign w:val="superscript"/>
        </w:rPr>
        <w:t>1</w:t>
      </w:r>
      <w:r w:rsidRPr="00397C13">
        <w:rPr>
          <w:rFonts w:ascii="Albertus Extra Bold" w:hAnsi="Albertus Extra Bold"/>
          <w:b/>
        </w:rPr>
        <w:t>[</w:t>
      </w:r>
      <w:r w:rsidRPr="00397C13">
        <w:t>immediately</w:t>
      </w:r>
      <w:r w:rsidRPr="00397C13">
        <w:rPr>
          <w:rFonts w:ascii="Albertus Extra Bold" w:hAnsi="Albertus Extra Bold"/>
          <w:b/>
        </w:rPr>
        <w:t>]</w:t>
      </w:r>
      <w:r>
        <w:t xml:space="preserve"> </w:t>
      </w:r>
      <w:r>
        <w:rPr>
          <w:u w:val="single"/>
        </w:rPr>
        <w:t>on the 30th</w:t>
      </w:r>
      <w:r w:rsidRPr="00397C13">
        <w:rPr>
          <w:u w:val="single"/>
        </w:rPr>
        <w:t xml:space="preserve"> day following enactment</w:t>
      </w:r>
      <w:r>
        <w:rPr>
          <w:rFonts w:ascii="Albertus Extra Bold" w:hAnsi="Albertus Extra Bold"/>
          <w:b/>
          <w:vertAlign w:val="superscript"/>
        </w:rPr>
        <w:t>1</w:t>
      </w:r>
      <w:r w:rsidRPr="00397C13">
        <w:t>.</w:t>
      </w:r>
    </w:p>
    <w:sectPr w:rsidR="001207ED" w:rsidRPr="00397C13" w:rsidSect="001207ED">
      <w:headerReference w:type="default" r:id="rId13"/>
      <w:footerReference w:type="default" r:id="rId14"/>
      <w:headerReference w:type="first" r:id="rId15"/>
      <w:footerReference w:type="first" r:id="rId16"/>
      <w:pgSz w:w="12240" w:h="20160" w:code="5"/>
      <w:pgMar w:top="1440" w:right="2520" w:bottom="2070"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2AC2" w:rsidRDefault="009E2AC2">
      <w:r>
        <w:separator/>
      </w:r>
    </w:p>
  </w:endnote>
  <w:endnote w:type="continuationSeparator" w:id="0">
    <w:p w:rsidR="009E2AC2" w:rsidRDefault="009E2A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7ABD" w:rsidRPr="00921C91" w:rsidRDefault="00397AB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97ABD" w:rsidRPr="00921C91" w:rsidRDefault="00397ABD">
    <w:pPr>
      <w:pStyle w:val="Footer"/>
      <w:rPr>
        <w:szCs w:val="18"/>
      </w:rPr>
    </w:pPr>
  </w:p>
  <w:p w:rsidR="00397ABD" w:rsidRPr="00921C91" w:rsidRDefault="00397AB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451DA" w:rsidRDefault="00C451DA" w:rsidP="00686AEB">
    <w:pPr>
      <w:pStyle w:val="Footer"/>
    </w:pPr>
    <w:r>
      <w:tab/>
      <w:t>Matter enclosed in superscript numerals has been adopted as follows:</w:t>
    </w:r>
  </w:p>
  <w:p w:rsidR="00C451DA" w:rsidRDefault="00C451D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SEG committee amendments adopted December 9,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2AC2" w:rsidRDefault="009E2AC2">
      <w:r>
        <w:separator/>
      </w:r>
    </w:p>
  </w:footnote>
  <w:footnote w:type="continuationSeparator" w:id="0">
    <w:p w:rsidR="009E2AC2" w:rsidRDefault="009E2A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2375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005EC" w:rsidRDefault="005005EC" w:rsidP="005005EC">
    <w:pPr>
      <w:pStyle w:val="bpuHeadSpon"/>
    </w:pPr>
    <w:r w:rsidRPr="005005EC">
      <w:rPr>
        <w:rStyle w:val="bpuHeadSponChar"/>
      </w:rPr>
      <w:t>S3535</w:t>
    </w:r>
    <w:r>
      <w:t xml:space="preserve"> </w:t>
    </w:r>
    <w:r w:rsidR="00C451DA">
      <w:t xml:space="preserve">[1R] </w:t>
    </w:r>
    <w:r>
      <w:t>TURNER</w:t>
    </w:r>
  </w:p>
  <w:p w:rsidR="005005EC" w:rsidRDefault="005005EC" w:rsidP="005005EC">
    <w:pPr>
      <w:pStyle w:val="bpuHeadSpon"/>
    </w:pPr>
    <w:r>
      <w:fldChar w:fldCharType="begin"/>
    </w:r>
    <w:r>
      <w:instrText xml:space="preserve"> PAGE  \* MERGEFORMAT </w:instrText>
    </w:r>
    <w:r>
      <w:fldChar w:fldCharType="separate"/>
    </w:r>
    <w:r w:rsidR="00223758">
      <w:rPr>
        <w:noProof/>
      </w:rPr>
      <w:t>11</w:t>
    </w:r>
    <w:r>
      <w:fldChar w:fldCharType="end"/>
    </w:r>
  </w:p>
  <w:p w:rsidR="005005EC" w:rsidRDefault="005005EC" w:rsidP="005005E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005EC" w:rsidRDefault="005005EC" w:rsidP="005005EC">
    <w:pPr>
      <w:pStyle w:val="bpuHeadSpon"/>
    </w:pPr>
    <w:r w:rsidRPr="005005EC">
      <w:rPr>
        <w:rStyle w:val="bpuHeadSponChar"/>
      </w:rPr>
      <w:t>S3535</w:t>
    </w:r>
    <w:r>
      <w:t xml:space="preserve"> </w:t>
    </w:r>
    <w:r w:rsidR="00C451DA">
      <w:t xml:space="preserve">[1R] </w:t>
    </w:r>
    <w:r>
      <w:t>TURNER</w:t>
    </w:r>
  </w:p>
  <w:p w:rsidR="005005EC" w:rsidRDefault="005005EC" w:rsidP="005005EC">
    <w:pPr>
      <w:pStyle w:val="bpuHeadSpon"/>
    </w:pPr>
    <w:r>
      <w:fldChar w:fldCharType="begin"/>
    </w:r>
    <w:r>
      <w:instrText xml:space="preserve"> PAGE  \* MERGEFORMAT </w:instrText>
    </w:r>
    <w:r>
      <w:fldChar w:fldCharType="separate"/>
    </w:r>
    <w:r w:rsidR="00223758">
      <w:rPr>
        <w:noProof/>
      </w:rPr>
      <w:t>2</w:t>
    </w:r>
    <w:r>
      <w:fldChar w:fldCharType="end"/>
    </w:r>
  </w:p>
  <w:p w:rsidR="005005EC" w:rsidRDefault="005005EC" w:rsidP="005005E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AC2"/>
    <w:rsid w:val="000051BD"/>
    <w:rsid w:val="000160A5"/>
    <w:rsid w:val="00017AAE"/>
    <w:rsid w:val="0002335B"/>
    <w:rsid w:val="0003549A"/>
    <w:rsid w:val="000367AE"/>
    <w:rsid w:val="00043B22"/>
    <w:rsid w:val="00054975"/>
    <w:rsid w:val="00057ABD"/>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07ED"/>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23758"/>
    <w:rsid w:val="00224725"/>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396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7ABD"/>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4181"/>
    <w:rsid w:val="0045118A"/>
    <w:rsid w:val="00454853"/>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68FA"/>
    <w:rsid w:val="004C742C"/>
    <w:rsid w:val="004E1F3E"/>
    <w:rsid w:val="004F21BD"/>
    <w:rsid w:val="004F4F1D"/>
    <w:rsid w:val="004F74DD"/>
    <w:rsid w:val="005005EC"/>
    <w:rsid w:val="00501317"/>
    <w:rsid w:val="0050495C"/>
    <w:rsid w:val="00505DC9"/>
    <w:rsid w:val="00506E1E"/>
    <w:rsid w:val="00511C08"/>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78C1"/>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205"/>
    <w:rsid w:val="00667A5C"/>
    <w:rsid w:val="00677316"/>
    <w:rsid w:val="00686AEB"/>
    <w:rsid w:val="006B7897"/>
    <w:rsid w:val="006B7FA7"/>
    <w:rsid w:val="006C086A"/>
    <w:rsid w:val="006C21C1"/>
    <w:rsid w:val="006C7327"/>
    <w:rsid w:val="006D00E5"/>
    <w:rsid w:val="006D107E"/>
    <w:rsid w:val="006D69D3"/>
    <w:rsid w:val="006D791B"/>
    <w:rsid w:val="006E2895"/>
    <w:rsid w:val="006F180D"/>
    <w:rsid w:val="006F4334"/>
    <w:rsid w:val="006F47AF"/>
    <w:rsid w:val="006F6B8A"/>
    <w:rsid w:val="00707CD3"/>
    <w:rsid w:val="00716BB9"/>
    <w:rsid w:val="0072259A"/>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4826"/>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02F4"/>
    <w:rsid w:val="00884D51"/>
    <w:rsid w:val="008916EC"/>
    <w:rsid w:val="00891E4F"/>
    <w:rsid w:val="008A31C5"/>
    <w:rsid w:val="008A3A91"/>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2817"/>
    <w:rsid w:val="00997152"/>
    <w:rsid w:val="009972CD"/>
    <w:rsid w:val="009A0E9C"/>
    <w:rsid w:val="009A45DA"/>
    <w:rsid w:val="009A6195"/>
    <w:rsid w:val="009B06D2"/>
    <w:rsid w:val="009B34EC"/>
    <w:rsid w:val="009B5D67"/>
    <w:rsid w:val="009B6176"/>
    <w:rsid w:val="009C0D22"/>
    <w:rsid w:val="009C2DD9"/>
    <w:rsid w:val="009C36E2"/>
    <w:rsid w:val="009C3E09"/>
    <w:rsid w:val="009C5630"/>
    <w:rsid w:val="009D0E5D"/>
    <w:rsid w:val="009D0F63"/>
    <w:rsid w:val="009D7934"/>
    <w:rsid w:val="009D7CCF"/>
    <w:rsid w:val="009E2AC2"/>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6E5B"/>
    <w:rsid w:val="00C328D0"/>
    <w:rsid w:val="00C451DA"/>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17CF"/>
    <w:rsid w:val="00CB5FAC"/>
    <w:rsid w:val="00CB6246"/>
    <w:rsid w:val="00CC0A17"/>
    <w:rsid w:val="00CD0F93"/>
    <w:rsid w:val="00CD1BD1"/>
    <w:rsid w:val="00CD528D"/>
    <w:rsid w:val="00CE78BF"/>
    <w:rsid w:val="00CF65EB"/>
    <w:rsid w:val="00CF72AD"/>
    <w:rsid w:val="00D02441"/>
    <w:rsid w:val="00D039F4"/>
    <w:rsid w:val="00D047CB"/>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085E"/>
    <w:rsid w:val="00FA0AFC"/>
    <w:rsid w:val="00FA1C82"/>
    <w:rsid w:val="00FA2ED1"/>
    <w:rsid w:val="00FA4A52"/>
    <w:rsid w:val="00FB4045"/>
    <w:rsid w:val="00FB47D3"/>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4AD8CD1-5EF3-4532-B38C-D27F9200A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005EC"/>
  </w:style>
  <w:style w:type="paragraph" w:styleId="BalloonText">
    <w:name w:val="Balloon Text"/>
    <w:basedOn w:val="Normal"/>
    <w:link w:val="BalloonTextChar"/>
    <w:semiHidden/>
    <w:unhideWhenUsed/>
    <w:rsid w:val="004C68F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C68F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749D3D-D545-409A-A16A-2D959E0E8D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11</Pages>
  <Words>4101</Words>
  <Characters>22789</Characters>
  <Application>Microsoft Office Word</Application>
  <DocSecurity>0</DocSecurity>
  <Lines>458</Lines>
  <Paragraphs>59</Paragraphs>
  <ScaleCrop>false</ScaleCrop>
  <HeadingPairs>
    <vt:vector size="2" baseType="variant">
      <vt:variant>
        <vt:lpstr>Title</vt:lpstr>
      </vt:variant>
      <vt:variant>
        <vt:i4>1</vt:i4>
      </vt:variant>
    </vt:vector>
  </HeadingPairs>
  <TitlesOfParts>
    <vt:vector size="1" baseType="lpstr">
      <vt:lpstr>S3535</vt:lpstr>
    </vt:vector>
  </TitlesOfParts>
  <Manager>R224</Manager>
  <Company>NJ Office of Legislative Services</Company>
  <LinksUpToDate>false</LinksUpToDate>
  <CharactersWithSpaces>26909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S3535 1R</dc:title>
  <dc:subject/>
  <dc:creator>Senator  TURNER</dc:creator>
  <cp:keywords>S3535|11|AU |273|261|339|!||</cp:keywords>
  <dc:description>INTRODUCED MARCH 11, 2021_x000d_
Amended 12/9/21</dc:description>
  <cp:lastModifiedBy>Franks, Denise</cp:lastModifiedBy>
  <cp:revision>2</cp:revision>
  <cp:lastPrinted>2021-12-10T15:12:00Z</cp:lastPrinted>
  <dcterms:created xsi:type="dcterms:W3CDTF">2021-12-10T20:16:00Z</dcterms:created>
  <dcterms:modified xsi:type="dcterms:W3CDTF">2021-12-10T20:16:00Z</dcterms:modified>
  <cp:category>s.4: Eff. date &amp; Note to ss.1-3 to 2021/16_x000d_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