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26A" w:rsidRDefault="00D7226A" w:rsidP="00D7226A">
      <w:pPr>
        <w:pStyle w:val="bpuReprint"/>
      </w:pPr>
      <w:bookmarkStart w:id="0" w:name="bpuFrontPg"/>
      <w:bookmarkEnd w:id="0"/>
      <w:r>
        <w:t>[First Reprint]</w:t>
      </w:r>
    </w:p>
    <w:p w:rsidR="00BB5C59" w:rsidRDefault="00BB5C59" w:rsidP="00BB5C59">
      <w:pPr>
        <w:pStyle w:val="bpuBill"/>
      </w:pPr>
      <w:r>
        <w:t xml:space="preserve">SENATE, No. 3579 </w:t>
      </w:r>
    </w:p>
    <w:p w:rsidR="00BB5C59" w:rsidRPr="009D38FF" w:rsidRDefault="00BB5C59" w:rsidP="00BB5C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5872520" r:id="rId7"/>
        </w:object>
      </w:r>
    </w:p>
    <w:p w:rsidR="00BB5C59" w:rsidRDefault="00BB5C59" w:rsidP="00BB5C59">
      <w:pPr>
        <w:pStyle w:val="bpuState"/>
      </w:pPr>
      <w:r>
        <w:t>STATE OF NEW JERSEY</w:t>
      </w:r>
    </w:p>
    <w:p w:rsidR="00BB5C59" w:rsidRDefault="00BB5C59" w:rsidP="00BB5C59">
      <w:pPr>
        <w:pStyle w:val="bpuLegislature"/>
      </w:pPr>
      <w:r>
        <w:t>219th LEGISLATURE</w:t>
      </w:r>
    </w:p>
    <w:p w:rsidR="00BB5C59" w:rsidRDefault="00BB5C59" w:rsidP="00BB5C59">
      <w:pPr>
        <w:pStyle w:val="bpuWpGraphic"/>
      </w:pPr>
      <w:r>
        <w:object w:dxaOrig="8985" w:dyaOrig="255">
          <v:shape id="_x0000_i1026" type="#_x0000_t75" style="width:6in;height:12.1pt" o:ole="">
            <v:imagedata r:id="rId6" o:title=""/>
          </v:shape>
          <o:OLEObject Type="Embed" ProgID="WPWin6.1" ShapeID="_x0000_i1026" DrawAspect="Content" ObjectID="_1685872521" r:id="rId8"/>
        </w:object>
      </w:r>
      <w:r>
        <w:t xml:space="preserve">  </w:t>
      </w:r>
    </w:p>
    <w:p w:rsidR="00BB5C59" w:rsidRDefault="00BB5C59" w:rsidP="00BB5C59">
      <w:pPr>
        <w:pStyle w:val="bpuIntro"/>
      </w:pPr>
      <w:r>
        <w:t>INTRODUCED MARCH 22, 2021</w:t>
      </w:r>
    </w:p>
    <w:p w:rsidR="00BB5C59" w:rsidRDefault="00BB5C59" w:rsidP="00BB5C59">
      <w:pPr>
        <w:pStyle w:val="bpuIntro"/>
      </w:pPr>
    </w:p>
    <w:p w:rsidR="00BB5C59" w:rsidRDefault="00BB5C59" w:rsidP="00BB5C59">
      <w:pPr>
        <w:pStyle w:val="bpuIntro"/>
        <w:sectPr w:rsidR="00BB5C59" w:rsidSect="00BB5C59">
          <w:headerReference w:type="even" r:id="rId9"/>
          <w:headerReference w:type="default" r:id="rId10"/>
          <w:pgSz w:w="12240" w:h="20160" w:code="5"/>
          <w:pgMar w:top="2160" w:right="1440" w:bottom="1440" w:left="1440" w:header="72" w:footer="720" w:gutter="0"/>
          <w:pgNumType w:start="1"/>
          <w:cols w:space="720"/>
          <w:docGrid w:linePitch="360"/>
        </w:sectPr>
      </w:pPr>
    </w:p>
    <w:p w:rsidR="00BB5C59" w:rsidRDefault="00BB5C59" w:rsidP="00BB5C59">
      <w:pPr>
        <w:pStyle w:val="bpuIntro"/>
      </w:pPr>
    </w:p>
    <w:p w:rsidR="00BB5C59" w:rsidRDefault="00BB5C59" w:rsidP="00BB5C59">
      <w:pPr>
        <w:pStyle w:val="bpuSponsor"/>
      </w:pPr>
      <w:r>
        <w:t>Sponsored by:</w:t>
      </w:r>
    </w:p>
    <w:p w:rsidR="00BB5C59" w:rsidRDefault="00BB5C59" w:rsidP="00BB5C59">
      <w:pPr>
        <w:pStyle w:val="bpuSponsor"/>
      </w:pPr>
      <w:proofErr w:type="gramStart"/>
      <w:r>
        <w:t>Senator  TROY</w:t>
      </w:r>
      <w:proofErr w:type="gramEnd"/>
      <w:r>
        <w:t xml:space="preserve"> SINGLETON</w:t>
      </w:r>
    </w:p>
    <w:p w:rsidR="00BB5C59" w:rsidRDefault="00BB5C59" w:rsidP="00BB5C59">
      <w:pPr>
        <w:pStyle w:val="bpuSponsor"/>
      </w:pPr>
      <w:r>
        <w:t>District 7 (Burlington)</w:t>
      </w:r>
    </w:p>
    <w:p w:rsidR="00BB5C59" w:rsidRDefault="00BB5C59" w:rsidP="00BB5C59">
      <w:pPr>
        <w:pStyle w:val="bpuSponsor"/>
      </w:pPr>
    </w:p>
    <w:p w:rsidR="00BB5C59" w:rsidRDefault="00BB5C59" w:rsidP="00BB5C59">
      <w:pPr>
        <w:pStyle w:val="bpuSponsor"/>
      </w:pPr>
    </w:p>
    <w:p w:rsidR="00BB5C59" w:rsidRDefault="00BB5C59" w:rsidP="00BB5C59">
      <w:pPr>
        <w:pStyle w:val="bpuSponsor"/>
      </w:pPr>
    </w:p>
    <w:p w:rsidR="00BB5C59" w:rsidRDefault="00BB5C59" w:rsidP="00BB5C59">
      <w:pPr>
        <w:pStyle w:val="bpuSponsor"/>
      </w:pPr>
    </w:p>
    <w:p w:rsidR="00BB5C59" w:rsidRDefault="00BB5C59" w:rsidP="00BB5C59">
      <w:pPr>
        <w:pStyle w:val="bpuSponsor"/>
      </w:pPr>
      <w:r>
        <w:t>SYNOPSIS</w:t>
      </w:r>
    </w:p>
    <w:p w:rsidR="00BB5C59" w:rsidRDefault="00BB5C59" w:rsidP="00BB5C59">
      <w:pPr>
        <w:pStyle w:val="bpuNormText"/>
      </w:pPr>
      <w:r>
        <w:tab/>
        <w:t xml:space="preserve">Requires certain permanency hearing to be held at least every six months. </w:t>
      </w:r>
    </w:p>
    <w:p w:rsidR="00BB5C59" w:rsidRDefault="00BB5C59" w:rsidP="00BB5C59">
      <w:pPr>
        <w:pStyle w:val="bpuNormText"/>
      </w:pPr>
    </w:p>
    <w:p w:rsidR="00BB5C59" w:rsidRDefault="00BB5C59" w:rsidP="00BB5C59">
      <w:pPr>
        <w:pStyle w:val="bpuSponsor"/>
      </w:pPr>
      <w:r>
        <w:t xml:space="preserve">CURRENT VERSION OF TEXT </w:t>
      </w:r>
    </w:p>
    <w:p w:rsidR="00BB5C59" w:rsidRDefault="00D7226A" w:rsidP="00BB5C59">
      <w:pPr>
        <w:pStyle w:val="bpuNormText"/>
      </w:pPr>
      <w:r>
        <w:tab/>
        <w:t>As amended by the Senate on June 21, 2021.</w:t>
      </w:r>
    </w:p>
    <w:p w:rsidR="00BB5C59" w:rsidRDefault="00BB5C59" w:rsidP="00BB5C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C59" w:rsidRDefault="00BB5C59" w:rsidP="008916EC">
      <w:pPr>
        <w:pStyle w:val="FronterPage"/>
        <w:tabs>
          <w:tab w:val="clear" w:pos="720"/>
          <w:tab w:val="clear" w:pos="1440"/>
          <w:tab w:val="clear" w:pos="2160"/>
          <w:tab w:val="clear" w:pos="2880"/>
          <w:tab w:val="clear" w:pos="3600"/>
          <w:tab w:val="clear" w:pos="4320"/>
          <w:tab w:val="clear" w:pos="5040"/>
        </w:tabs>
        <w:sectPr w:rsidR="00BB5C59" w:rsidSect="00BB5C59">
          <w:type w:val="continuous"/>
          <w:pgSz w:w="12240" w:h="20160" w:code="5"/>
          <w:pgMar w:top="1440" w:right="2275" w:bottom="1440" w:left="2275" w:header="72" w:footer="720" w:gutter="0"/>
          <w:pgNumType w:start="1"/>
          <w:cols w:space="720"/>
          <w:docGrid w:linePitch="360"/>
        </w:sectPr>
      </w:pPr>
    </w:p>
    <w:p w:rsidR="00686AEB" w:rsidRPr="00677316" w:rsidRDefault="00AB2619" w:rsidP="003E47BA">
      <w:pPr>
        <w:pStyle w:val="HangingAnAct"/>
        <w:rPr>
          <w:rStyle w:val="HangingAnActChar"/>
        </w:rPr>
      </w:pPr>
      <w:r>
        <w:rPr>
          <w:rStyle w:val="BillHead"/>
        </w:rPr>
        <w:lastRenderedPageBreak/>
        <w:t>An Act</w:t>
      </w:r>
      <w:r w:rsidR="00686AEB" w:rsidRPr="006B7FA7">
        <w:rPr>
          <w:rStyle w:val="HangingAnActChar"/>
        </w:rPr>
        <w:t xml:space="preserve"> </w:t>
      </w:r>
      <w:r w:rsidR="00FA7413" w:rsidRPr="00FA7413">
        <w:t>concerning permanency hearings and amending P.L.1974, c.119 and P.L.1999, c.53.</w:t>
      </w:r>
    </w:p>
    <w:p w:rsidR="000B1054" w:rsidRPr="00D71D68" w:rsidRDefault="000B1054" w:rsidP="000B1054"/>
    <w:p w:rsidR="00686AEB" w:rsidRPr="00AA7880" w:rsidRDefault="00686AEB" w:rsidP="00686AEB">
      <w:r>
        <w:tab/>
      </w:r>
      <w:r w:rsidR="00AB2619">
        <w:rPr>
          <w:rStyle w:val="BillHeading2"/>
        </w:rPr>
        <w:t>Be It Enacted</w:t>
      </w:r>
      <w:r>
        <w:rPr>
          <w:rStyle w:val="BillHeading2"/>
        </w:rPr>
        <w:t xml:space="preserve"> </w:t>
      </w:r>
      <w:r w:rsidR="00AB2619">
        <w:rPr>
          <w:rStyle w:val="BillLanguage"/>
        </w:rPr>
        <w:t>by the Senate and General Assembly of the State of New Jersey:</w:t>
      </w:r>
    </w:p>
    <w:p w:rsidR="00686AEB" w:rsidRPr="00D71D68" w:rsidRDefault="00686AEB" w:rsidP="00686AEB"/>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226A">
        <w:rPr>
          <w:spacing w:val="0"/>
        </w:rPr>
        <w:tab/>
      </w:r>
      <w:r w:rsidRPr="00D7226A">
        <w:t>1.  Section 34 of P.L.1974, c.119 (C.9:6-8.54) is amended to read as follows:</w:t>
      </w:r>
    </w:p>
    <w:p w:rsidR="00D7226A" w:rsidRPr="00D7226A" w:rsidRDefault="00D7226A" w:rsidP="00D7226A">
      <w:r w:rsidRPr="00D7226A">
        <w:tab/>
        <w:t xml:space="preserve">34.  </w:t>
      </w:r>
      <w:proofErr w:type="gramStart"/>
      <w:r w:rsidRPr="00D7226A">
        <w:t>a</w:t>
      </w:r>
      <w:proofErr w:type="gramEnd"/>
      <w:r w:rsidRPr="00D7226A">
        <w:t>.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26A">
        <w:tab/>
        <w:t>b.  (1)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D7226A" w:rsidRPr="00D7226A" w:rsidRDefault="00D7226A" w:rsidP="00D7226A">
      <w:r w:rsidRPr="00D7226A">
        <w:tab/>
        <w:t>(2)  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D7226A" w:rsidRPr="00D7226A" w:rsidRDefault="00D7226A" w:rsidP="00D7226A">
      <w:r w:rsidRPr="00D7226A">
        <w:tab/>
        <w:t>(3)</w:t>
      </w:r>
      <w:r>
        <w:t xml:space="preserve"> </w:t>
      </w:r>
      <w:r w:rsidRPr="00D7226A">
        <w:t xml:space="preserve"> The court shall review the permanency plan for the child periodically, as deemed appropriate by the court, to ensure that the permanency plan is achieved.</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D7226A">
        <w:rPr>
          <w:spacing w:val="0"/>
        </w:rPr>
        <w:tab/>
      </w:r>
      <w:r w:rsidRPr="00D7226A">
        <w:rPr>
          <w:u w:val="single"/>
        </w:rPr>
        <w:t>(4)</w:t>
      </w:r>
      <w:r w:rsidRPr="00014715">
        <w:t xml:space="preserve">  </w:t>
      </w:r>
      <w:bookmarkStart w:id="1" w:name="_GoBack"/>
      <w:bookmarkEnd w:id="1"/>
      <w:r w:rsidRPr="00D7226A">
        <w:rPr>
          <w:rFonts w:ascii="Albertus Extra Bold" w:hAnsi="Albertus Extra Bold"/>
          <w:b/>
          <w:vertAlign w:val="superscript"/>
        </w:rPr>
        <w:t>1</w:t>
      </w:r>
      <w:r w:rsidRPr="00D7226A">
        <w:rPr>
          <w:rFonts w:ascii="Albertus Extra Bold" w:hAnsi="Albertus Extra Bold"/>
          <w:b/>
        </w:rPr>
        <w:t>[</w:t>
      </w:r>
      <w:r w:rsidRPr="00D7226A">
        <w:rPr>
          <w:u w:val="single"/>
        </w:rPr>
        <w:t>If the child remains in placement more than 12 months, the court shall conduct a permanency hearing at least every six months commencing from the date of the initial permanency hearing conducted pursuant to subparagraph (2) of this section</w:t>
      </w:r>
      <w:r w:rsidRPr="00D7226A">
        <w:rPr>
          <w:rFonts w:ascii="Albertus Extra Bold" w:hAnsi="Albertus Extra Bold"/>
          <w:b/>
        </w:rPr>
        <w:t>]</w:t>
      </w:r>
      <w:r w:rsidRPr="00D7226A">
        <w:rPr>
          <w:rFonts w:ascii="Albertus Extra Bold" w:hAnsi="Albertus Extra Bold"/>
          <w:b/>
          <w:vertAlign w:val="superscript"/>
        </w:rPr>
        <w:t>1</w:t>
      </w:r>
      <w:r w:rsidRPr="00D7226A">
        <w:rPr>
          <w:u w:val="single"/>
        </w:rPr>
        <w:t xml:space="preserve"> The court shall conduct a review hearing at least every three months.  At this quarterly review hearing, the court may, upon notice in accordance with the court rules, review the permanency plan and any other issues related to the health and well-being of the child as the court deems appropriate</w:t>
      </w:r>
      <w:r w:rsidRPr="00D7226A">
        <w:rPr>
          <w:rFonts w:ascii="Albertus Extra Bold" w:hAnsi="Albertus Extra Bold"/>
          <w:b/>
          <w:vertAlign w:val="superscript"/>
        </w:rPr>
        <w:t>1</w:t>
      </w:r>
      <w:r w:rsidRPr="00D7226A">
        <w:rPr>
          <w:u w:val="single"/>
        </w:rPr>
        <w:t>.</w:t>
      </w:r>
    </w:p>
    <w:p w:rsidR="00D7226A" w:rsidRPr="00D7226A" w:rsidRDefault="00D7226A" w:rsidP="00D7226A">
      <w:r w:rsidRPr="00D7226A">
        <w:lastRenderedPageBreak/>
        <w:tab/>
      </w:r>
      <w:proofErr w:type="gramStart"/>
      <w:r w:rsidRPr="00D7226A">
        <w:t>c.  No</w:t>
      </w:r>
      <w:proofErr w:type="gramEnd"/>
      <w:r w:rsidRPr="00D7226A">
        <w:t xml:space="preserve"> placement may be made or continued under this section beyond the child's eighteenth birthday without his consent.</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226A">
        <w:tab/>
      </w:r>
      <w:proofErr w:type="gramStart"/>
      <w:r w:rsidRPr="00D7226A">
        <w:t>d.  If</w:t>
      </w:r>
      <w:proofErr w:type="gramEnd"/>
      <w:r w:rsidRPr="00D7226A">
        <w:t xml:space="preserve">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26A">
        <w:t>(</w:t>
      </w:r>
      <w:proofErr w:type="spellStart"/>
      <w:r w:rsidRPr="00D7226A">
        <w:t>cf</w:t>
      </w:r>
      <w:proofErr w:type="spellEnd"/>
      <w:r w:rsidRPr="00D7226A">
        <w:t>: P.L.1999, c.213, s.2)</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226A">
        <w:rPr>
          <w:spacing w:val="0"/>
        </w:rPr>
        <w:tab/>
      </w:r>
      <w:r w:rsidRPr="00D7226A">
        <w:t>2.  Section 50 of P.L.1999, c.53 (C.30:4C-61.2) is amended to read as follows:</w:t>
      </w:r>
    </w:p>
    <w:p w:rsidR="00D7226A" w:rsidRPr="00D7226A" w:rsidRDefault="00D7226A" w:rsidP="00D7226A">
      <w:r w:rsidRPr="00D7226A">
        <w:tab/>
        <w:t xml:space="preserve">50.  </w:t>
      </w:r>
      <w:proofErr w:type="gramStart"/>
      <w:r w:rsidRPr="00D7226A">
        <w:t>a</w:t>
      </w:r>
      <w:proofErr w:type="gramEnd"/>
      <w:r w:rsidRPr="00D7226A">
        <w:t>.  A permanency hearing shall be held that provides review and approval by the court of the placement plan:</w:t>
      </w:r>
    </w:p>
    <w:p w:rsidR="00D7226A" w:rsidRPr="00D7226A" w:rsidRDefault="00D7226A" w:rsidP="00D7226A">
      <w:r w:rsidRPr="00D7226A">
        <w:tab/>
        <w:t xml:space="preserve">(1)  </w:t>
      </w:r>
      <w:proofErr w:type="gramStart"/>
      <w:r w:rsidRPr="00D7226A">
        <w:t>within</w:t>
      </w:r>
      <w:proofErr w:type="gramEnd"/>
      <w:r w:rsidRPr="00D7226A">
        <w:t xml:space="preserve"> 30 days after the determination of an exception to the reasonable effort requirement to reunify the child with the parent in accordance with section 25 of P.L.1999, c.53 (C.30:4C-11.3);</w:t>
      </w:r>
      <w:r w:rsidRPr="00D7226A">
        <w:rPr>
          <w:rFonts w:ascii="Albertus Extra Bold" w:hAnsi="Albertus Extra Bold"/>
          <w:b/>
        </w:rPr>
        <w:t>[</w:t>
      </w:r>
      <w:r w:rsidRPr="00D7226A">
        <w:t xml:space="preserve"> or</w:t>
      </w:r>
      <w:r w:rsidRPr="00D7226A">
        <w:rPr>
          <w:rFonts w:ascii="Albertus Extra Bold" w:hAnsi="Albertus Extra Bold"/>
          <w:b/>
        </w:rPr>
        <w:t>]</w:t>
      </w:r>
      <w:r w:rsidRPr="00D7226A">
        <w:rPr>
          <w:spacing w:val="0"/>
        </w:rPr>
        <w:t xml:space="preserve"> </w:t>
      </w:r>
      <w:r w:rsidRPr="00D7226A">
        <w:rPr>
          <w:rFonts w:ascii="Albertus Extra Bold" w:hAnsi="Albertus Extra Bold"/>
          <w:b/>
          <w:vertAlign w:val="superscript"/>
        </w:rPr>
        <w:t>1</w:t>
      </w:r>
      <w:r w:rsidRPr="00D7226A">
        <w:rPr>
          <w:spacing w:val="0"/>
          <w:u w:val="single"/>
        </w:rPr>
        <w:t>; or</w:t>
      </w:r>
      <w:r w:rsidRPr="00D7226A">
        <w:rPr>
          <w:rFonts w:ascii="Albertus Extra Bold" w:hAnsi="Albertus Extra Bold"/>
          <w:b/>
          <w:vertAlign w:val="superscript"/>
        </w:rPr>
        <w:t>1</w:t>
      </w:r>
    </w:p>
    <w:p w:rsidR="00D7226A" w:rsidRPr="00D7226A" w:rsidRDefault="00D7226A" w:rsidP="00D7226A">
      <w:pPr>
        <w:rPr>
          <w:u w:val="single"/>
        </w:rPr>
      </w:pPr>
      <w:r w:rsidRPr="00D7226A">
        <w:tab/>
        <w:t>(2)</w:t>
      </w:r>
      <w:r w:rsidRPr="00D7226A">
        <w:tab/>
      </w:r>
      <w:proofErr w:type="gramStart"/>
      <w:r w:rsidRPr="00D7226A">
        <w:t>no</w:t>
      </w:r>
      <w:proofErr w:type="gramEnd"/>
      <w:r w:rsidRPr="00D7226A">
        <w:t xml:space="preserve"> later than 12 months after the child has been in placement</w:t>
      </w:r>
      <w:r w:rsidRPr="00D7226A">
        <w:rPr>
          <w:rFonts w:ascii="Albertus Extra Bold" w:hAnsi="Albertus Extra Bold"/>
          <w:b/>
          <w:vertAlign w:val="superscript"/>
        </w:rPr>
        <w:t>1</w:t>
      </w:r>
      <w:r w:rsidRPr="00D7226A">
        <w:rPr>
          <w:rFonts w:ascii="Albertus Extra Bold" w:hAnsi="Albertus Extra Bold"/>
          <w:b/>
        </w:rPr>
        <w:t>[</w:t>
      </w:r>
      <w:r w:rsidRPr="00D7226A">
        <w:rPr>
          <w:u w:val="single"/>
        </w:rPr>
        <w:t>; or</w:t>
      </w:r>
    </w:p>
    <w:p w:rsidR="00D7226A" w:rsidRPr="00D7226A" w:rsidRDefault="00D7226A" w:rsidP="00D7226A">
      <w:r w:rsidRPr="00D7226A">
        <w:tab/>
      </w:r>
      <w:r w:rsidRPr="00D7226A">
        <w:rPr>
          <w:u w:val="single"/>
        </w:rPr>
        <w:t>(3)</w:t>
      </w:r>
      <w:r w:rsidRPr="00D7226A">
        <w:rPr>
          <w:u w:val="single"/>
        </w:rPr>
        <w:tab/>
        <w:t>at least every six months commencing from the date of the initial permanency hearing held pursuant to subparagraph (2) of this section if the child remains in placement for more than 12 months</w:t>
      </w:r>
      <w:r w:rsidRPr="00D7226A">
        <w:rPr>
          <w:rFonts w:ascii="Albertus Extra Bold" w:hAnsi="Albertus Extra Bold"/>
          <w:b/>
        </w:rPr>
        <w:t>]</w:t>
      </w:r>
      <w:r w:rsidRPr="00D7226A">
        <w:rPr>
          <w:rFonts w:ascii="Albertus Extra Bold" w:hAnsi="Albertus Extra Bold"/>
          <w:b/>
          <w:vertAlign w:val="superscript"/>
        </w:rPr>
        <w:t>1</w:t>
      </w:r>
      <w:r w:rsidRPr="00D7226A">
        <w:t>.</w:t>
      </w:r>
    </w:p>
    <w:p w:rsidR="00D7226A" w:rsidRPr="00D7226A" w:rsidRDefault="00D7226A" w:rsidP="00D7226A">
      <w:r w:rsidRPr="00D7226A">
        <w:tab/>
      </w:r>
      <w:proofErr w:type="gramStart"/>
      <w:r w:rsidRPr="00D7226A">
        <w:t>b.  Written</w:t>
      </w:r>
      <w:proofErr w:type="gramEnd"/>
      <w:r w:rsidRPr="00D7226A">
        <w:t xml:space="preserve"> notice of the date, time and place of the permanency hearing shall be provided at least 15 days in advance to the following, each of whom shall be entitled to attend the hearing and to submit written information to the court:</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226A">
        <w:rPr>
          <w:spacing w:val="0"/>
        </w:rPr>
        <w:tab/>
      </w:r>
      <w:r w:rsidRPr="00D7226A">
        <w:t xml:space="preserve">(1)  </w:t>
      </w:r>
      <w:proofErr w:type="gramStart"/>
      <w:r w:rsidRPr="00D7226A">
        <w:t>the</w:t>
      </w:r>
      <w:proofErr w:type="gramEnd"/>
      <w:r w:rsidRPr="00D7226A">
        <w:t xml:space="preserve"> division or agency;</w:t>
      </w:r>
    </w:p>
    <w:p w:rsidR="00D7226A" w:rsidRPr="00D7226A" w:rsidRDefault="00D7226A" w:rsidP="00D7226A">
      <w:r w:rsidRPr="00D7226A">
        <w:tab/>
        <w:t xml:space="preserve">(2)  </w:t>
      </w:r>
      <w:proofErr w:type="gramStart"/>
      <w:r w:rsidRPr="00D7226A">
        <w:t>the</w:t>
      </w:r>
      <w:proofErr w:type="gramEnd"/>
      <w:r w:rsidRPr="00D7226A">
        <w:t xml:space="preserve"> child;</w:t>
      </w:r>
    </w:p>
    <w:p w:rsidR="00D7226A" w:rsidRPr="00D7226A" w:rsidRDefault="00D7226A" w:rsidP="00D7226A">
      <w:r w:rsidRPr="00D7226A">
        <w:tab/>
        <w:t xml:space="preserve">(3)  </w:t>
      </w:r>
      <w:proofErr w:type="gramStart"/>
      <w:r w:rsidRPr="00D7226A">
        <w:t>the</w:t>
      </w:r>
      <w:proofErr w:type="gramEnd"/>
      <w:r w:rsidRPr="00D7226A">
        <w:t xml:space="preserve"> parents, including a non-custodial parent or legal guardian;</w:t>
      </w:r>
    </w:p>
    <w:p w:rsidR="00D7226A" w:rsidRPr="00D7226A" w:rsidRDefault="00D7226A" w:rsidP="00D7226A">
      <w:r w:rsidRPr="00D7226A">
        <w:tab/>
        <w:t xml:space="preserve">(4)  </w:t>
      </w:r>
      <w:proofErr w:type="gramStart"/>
      <w:r w:rsidRPr="00D7226A">
        <w:t>the</w:t>
      </w:r>
      <w:proofErr w:type="gramEnd"/>
      <w:r w:rsidRPr="00D7226A">
        <w:t xml:space="preserve"> temporary caretaker;</w:t>
      </w:r>
    </w:p>
    <w:p w:rsidR="00D7226A" w:rsidRPr="00D7226A" w:rsidRDefault="00D7226A" w:rsidP="00D7226A">
      <w:r w:rsidRPr="00D7226A">
        <w:tab/>
        <w:t xml:space="preserve">(5)  </w:t>
      </w:r>
      <w:proofErr w:type="gramStart"/>
      <w:r w:rsidRPr="00D7226A">
        <w:t>any</w:t>
      </w:r>
      <w:proofErr w:type="gramEnd"/>
      <w:r w:rsidRPr="00D7226A">
        <w:t xml:space="preserve"> other person or agency whom the court determines has an interest in or information relating to the welfare of the child;</w:t>
      </w:r>
    </w:p>
    <w:p w:rsidR="00D7226A" w:rsidRPr="00D7226A" w:rsidRDefault="00D7226A" w:rsidP="00D7226A">
      <w:r w:rsidRPr="00D7226A">
        <w:tab/>
        <w:t>(6)  the counsel for a parent, child or other interested party who has provided or is providing representation in the case before the court; and</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26A">
        <w:tab/>
        <w:t xml:space="preserve">(7)  </w:t>
      </w:r>
      <w:proofErr w:type="gramStart"/>
      <w:r w:rsidRPr="00D7226A">
        <w:t>the</w:t>
      </w:r>
      <w:proofErr w:type="gramEnd"/>
      <w:r w:rsidRPr="00D7226A">
        <w:t xml:space="preserve"> child's resource family parent or relative providing care for the child shall also receive written notice of, and shall have a right to be heard at, the hearing, but the resource family parent or relative shall not be made a party to the hearing solely on the basis of the notice and right to be heard.</w:t>
      </w:r>
    </w:p>
    <w:p w:rsidR="00D7226A" w:rsidRPr="00D7226A" w:rsidRDefault="00D7226A" w:rsidP="00D7226A">
      <w:r w:rsidRPr="00D7226A">
        <w:tab/>
      </w:r>
      <w:proofErr w:type="gramStart"/>
      <w:r w:rsidRPr="00D7226A">
        <w:t>c.  The</w:t>
      </w:r>
      <w:proofErr w:type="gramEnd"/>
      <w:r w:rsidRPr="00D7226A">
        <w:t xml:space="preserve"> hearing shall include, but not necessarily be limited to, consideration and evaluation of information provided by the division and other interested parties regarding such matters as:</w:t>
      </w:r>
    </w:p>
    <w:p w:rsidR="00D7226A" w:rsidRPr="00D7226A" w:rsidRDefault="00D7226A" w:rsidP="00D7226A">
      <w:r w:rsidRPr="00D7226A">
        <w:lastRenderedPageBreak/>
        <w:tab/>
        <w:t xml:space="preserve">(1)  </w:t>
      </w:r>
      <w:proofErr w:type="gramStart"/>
      <w:r w:rsidRPr="00D7226A">
        <w:t>a</w:t>
      </w:r>
      <w:proofErr w:type="gramEnd"/>
      <w:r w:rsidRPr="00D7226A">
        <w:t xml:space="preserve"> statement of the goal for the permanent placement or return home of the child and the anticipated date that the goal will be achieved;</w:t>
      </w:r>
    </w:p>
    <w:p w:rsidR="00D7226A" w:rsidRPr="00D7226A" w:rsidRDefault="00D7226A" w:rsidP="00D7226A">
      <w:r w:rsidRPr="00D7226A">
        <w:tab/>
        <w:t xml:space="preserve">(2)  </w:t>
      </w:r>
      <w:proofErr w:type="gramStart"/>
      <w:r w:rsidRPr="00D7226A">
        <w:t>the</w:t>
      </w:r>
      <w:proofErr w:type="gramEnd"/>
      <w:r w:rsidRPr="00D7226A">
        <w:t xml:space="preserve"> intermediate objectives relating to the attainment of the goal;</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26A">
        <w:tab/>
        <w:t xml:space="preserve">(3)  </w:t>
      </w:r>
      <w:proofErr w:type="gramStart"/>
      <w:r w:rsidRPr="00D7226A">
        <w:t>a</w:t>
      </w:r>
      <w:proofErr w:type="gramEnd"/>
      <w:r w:rsidRPr="00D7226A">
        <w:t xml:space="preserve"> statement of the duties and responsibilities of the division, the parents or legal guardian and the temporary caretaker, including</w:t>
      </w:r>
    </w:p>
    <w:p w:rsidR="00D7226A" w:rsidRPr="00D7226A" w:rsidRDefault="00D7226A" w:rsidP="00D7226A">
      <w:proofErr w:type="gramStart"/>
      <w:r w:rsidRPr="00D7226A">
        <w:t>the</w:t>
      </w:r>
      <w:proofErr w:type="gramEnd"/>
      <w:r w:rsidRPr="00D7226A">
        <w:t xml:space="preserve"> services to be provided by the division to the child and to the temporary caretaker;</w:t>
      </w:r>
    </w:p>
    <w:p w:rsidR="00D7226A" w:rsidRPr="00D7226A" w:rsidRDefault="00D7226A" w:rsidP="00D7226A">
      <w:r w:rsidRPr="00D7226A">
        <w:tab/>
        <w:t>(4)  a statement of the services to be provided to the parent or legal guardian or an exception to the requirement to provide reasonable efforts toward family reunification in accordance with section 25 of P.L.1999, c.53 (C.30:4C-11.3).  Services to facilitate adoption or an alternative permanent placement may be provided concurrently with services to reunify the child with the parent or guardian;</w:t>
      </w:r>
    </w:p>
    <w:p w:rsidR="00D7226A" w:rsidRPr="00D7226A" w:rsidRDefault="00D7226A" w:rsidP="00D7226A">
      <w:r>
        <w:tab/>
        <w:t>(5)</w:t>
      </w:r>
      <w:r>
        <w:tab/>
      </w:r>
      <w:proofErr w:type="gramStart"/>
      <w:r w:rsidRPr="00D7226A">
        <w:t>a</w:t>
      </w:r>
      <w:proofErr w:type="gramEnd"/>
      <w:r w:rsidRPr="00D7226A">
        <w:t xml:space="preserve"> permanency plan which includes whether and, if applicable, when:</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226A">
        <w:tab/>
        <w:t xml:space="preserve">(a)  </w:t>
      </w:r>
      <w:proofErr w:type="gramStart"/>
      <w:r w:rsidRPr="00D7226A">
        <w:t>the</w:t>
      </w:r>
      <w:proofErr w:type="gramEnd"/>
      <w:r w:rsidRPr="00D7226A">
        <w:t xml:space="preserve"> child shall be returned to the parent or guardian, if the child can be returned home without endangering the child's health or safety;</w:t>
      </w:r>
    </w:p>
    <w:p w:rsidR="00D7226A" w:rsidRPr="00D7226A" w:rsidRDefault="00D7226A" w:rsidP="00D722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226A">
        <w:tab/>
        <w:t xml:space="preserve">(b)  </w:t>
      </w:r>
      <w:proofErr w:type="gramStart"/>
      <w:r w:rsidRPr="00D7226A">
        <w:t>the</w:t>
      </w:r>
      <w:proofErr w:type="gramEnd"/>
      <w:r w:rsidRPr="00D7226A">
        <w:t xml:space="preserve"> division has determined that family reunification is not possible and the division shall file a petition for the termination of parental rights for the purpose of adoption; or</w:t>
      </w:r>
    </w:p>
    <w:p w:rsidR="00D7226A" w:rsidRPr="00D7226A" w:rsidRDefault="00D7226A" w:rsidP="00D7226A">
      <w:r w:rsidRPr="00D7226A">
        <w:tab/>
        <w:t>(c)</w:t>
      </w:r>
      <w:r>
        <w:t xml:space="preserve"> </w:t>
      </w:r>
      <w:r w:rsidRPr="00D7226A">
        <w:t xml:space="preserve"> </w:t>
      </w:r>
      <w:proofErr w:type="gramStart"/>
      <w:r w:rsidRPr="00D7226A">
        <w:t>the</w:t>
      </w:r>
      <w:proofErr w:type="gramEnd"/>
      <w:r w:rsidRPr="00D7226A">
        <w:t xml:space="preserve"> division has determined that termination of parental rights is not appropriate in accordance with section 31 of P.L.1999, c.53 (C.30:4C-15.3) and the child shall be placed in an alternative permanent placement.</w:t>
      </w:r>
    </w:p>
    <w:p w:rsidR="00D7226A" w:rsidRPr="00D7226A" w:rsidRDefault="00D7226A" w:rsidP="00D7226A">
      <w:r w:rsidRPr="00D7226A">
        <w:tab/>
      </w:r>
      <w:proofErr w:type="gramStart"/>
      <w:r w:rsidRPr="00D7226A">
        <w:t>d.  If</w:t>
      </w:r>
      <w:proofErr w:type="gramEnd"/>
      <w:r w:rsidRPr="00D7226A">
        <w:t xml:space="preserve"> the court approves a permanency plan for the child, the court shall make a specific finding of the reasonable efforts made thus far by the division and the appropriateness of the reasonable efforts to achieve the permanency plan.</w:t>
      </w:r>
    </w:p>
    <w:p w:rsidR="00D7226A" w:rsidRPr="00D7226A" w:rsidRDefault="00D7226A" w:rsidP="00D7226A">
      <w:pPr>
        <w:rPr>
          <w:rFonts w:ascii="Albertus Extra Bold" w:hAnsi="Albertus Extra Bold"/>
          <w:vertAlign w:val="superscript"/>
        </w:rPr>
      </w:pPr>
      <w:r w:rsidRPr="00D7226A">
        <w:tab/>
      </w:r>
      <w:r w:rsidRPr="00D7226A">
        <w:rPr>
          <w:rFonts w:ascii="Albertus Extra Bold" w:hAnsi="Albertus Extra Bold"/>
          <w:b/>
          <w:vertAlign w:val="superscript"/>
        </w:rPr>
        <w:t>1</w:t>
      </w:r>
      <w:r w:rsidRPr="00D7226A">
        <w:rPr>
          <w:u w:val="single"/>
        </w:rPr>
        <w:t>e.  At a hearing conducted at least every three months pursuant to section 34 of P.L.1974, c.119 (C.9:6-8.54), the court may, upon notice in accordance with the rules of court, review the permanency plan and any other issues regarding the health and well-being of the child as the court deems appropriate.</w:t>
      </w:r>
      <w:r w:rsidRPr="00D7226A">
        <w:rPr>
          <w:rFonts w:ascii="Albertus Extra Bold" w:hAnsi="Albertus Extra Bold"/>
          <w:b/>
          <w:vertAlign w:val="superscript"/>
        </w:rPr>
        <w:t>1</w:t>
      </w:r>
    </w:p>
    <w:p w:rsidR="00FA7413" w:rsidRDefault="00D7226A" w:rsidP="00D7226A">
      <w:r w:rsidRPr="00D7226A">
        <w:t>(</w:t>
      </w:r>
      <w:proofErr w:type="spellStart"/>
      <w:r w:rsidRPr="00D7226A">
        <w:t>cf</w:t>
      </w:r>
      <w:proofErr w:type="spellEnd"/>
      <w:r w:rsidRPr="00D7226A">
        <w:t>: P.L.2007, c.228, s.8)</w:t>
      </w:r>
    </w:p>
    <w:p w:rsidR="00FA7413" w:rsidRDefault="00FA7413" w:rsidP="00686AEB"/>
    <w:p w:rsidR="00686AEB" w:rsidRPr="00AA7880" w:rsidRDefault="00686AEB" w:rsidP="00686AEB">
      <w:r>
        <w:tab/>
      </w:r>
      <w:r w:rsidR="007B2321">
        <w:t>3</w:t>
      </w:r>
      <w:r w:rsidR="00AB2619">
        <w:t xml:space="preserve">. </w:t>
      </w:r>
      <w:r w:rsidR="007B2321">
        <w:t xml:space="preserve"> </w:t>
      </w:r>
      <w:r w:rsidR="00AB2619">
        <w:t>This act shall take effect</w:t>
      </w:r>
      <w:r w:rsidR="007B2321">
        <w:t xml:space="preserve"> immediately.</w:t>
      </w:r>
    </w:p>
    <w:sectPr w:rsidR="00686AEB" w:rsidRPr="00AA7880" w:rsidSect="00D7226A">
      <w:headerReference w:type="default" r:id="rId12"/>
      <w:footerReference w:type="default" r:id="rId13"/>
      <w:headerReference w:type="first" r:id="rId14"/>
      <w:footerReference w:type="first" r:id="rId15"/>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EDE" w:rsidRDefault="006D2EDE">
      <w:r>
        <w:separator/>
      </w:r>
    </w:p>
  </w:endnote>
  <w:endnote w:type="continuationSeparator" w:id="0">
    <w:p w:rsidR="006D2EDE" w:rsidRDefault="006D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19" w:rsidRPr="00921C91" w:rsidRDefault="00AB26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2619" w:rsidRPr="00921C91" w:rsidRDefault="00AB2619">
    <w:pPr>
      <w:pStyle w:val="Footer"/>
      <w:rPr>
        <w:szCs w:val="18"/>
      </w:rPr>
    </w:pPr>
  </w:p>
  <w:p w:rsidR="00D7226A" w:rsidRDefault="00AB2619">
    <w:pPr>
      <w:pStyle w:val="Footer"/>
      <w:rPr>
        <w:szCs w:val="18"/>
      </w:rPr>
    </w:pPr>
    <w:r>
      <w:rPr>
        <w:szCs w:val="18"/>
      </w:rPr>
      <w:tab/>
    </w:r>
    <w:r w:rsidRPr="00921C91">
      <w:rPr>
        <w:szCs w:val="18"/>
      </w:rPr>
      <w:t xml:space="preserve">Matter underlined </w:t>
    </w:r>
    <w:r w:rsidRPr="00000D7D">
      <w:rPr>
        <w:szCs w:val="18"/>
        <w:u w:val="single"/>
      </w:rPr>
      <w:t>thus</w:t>
    </w:r>
    <w:r w:rsidR="00D7226A">
      <w:rPr>
        <w:szCs w:val="18"/>
      </w:rPr>
      <w:t xml:space="preserve"> is new matter</w:t>
    </w:r>
  </w:p>
  <w:p w:rsidR="00D7226A" w:rsidRDefault="00D7226A">
    <w:pPr>
      <w:pStyle w:val="Footer"/>
      <w:rPr>
        <w:szCs w:val="18"/>
      </w:rPr>
    </w:pPr>
    <w:r>
      <w:rPr>
        <w:szCs w:val="18"/>
      </w:rPr>
      <w:tab/>
      <w:t>Matter enclosed in superscript numerals has been adopted as follows:</w:t>
    </w:r>
  </w:p>
  <w:p w:rsidR="00D7226A" w:rsidRDefault="00D7226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EDE" w:rsidRDefault="006D2EDE">
      <w:r>
        <w:separator/>
      </w:r>
    </w:p>
  </w:footnote>
  <w:footnote w:type="continuationSeparator" w:id="0">
    <w:p w:rsidR="006D2EDE" w:rsidRDefault="006D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4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5C59" w:rsidRDefault="00BB5C59" w:rsidP="00BB5C59">
    <w:pPr>
      <w:pStyle w:val="bpuHeadSpon"/>
    </w:pPr>
    <w:r w:rsidRPr="00BB5C59">
      <w:rPr>
        <w:rStyle w:val="bpuHeadSponChar"/>
      </w:rPr>
      <w:t>S3579</w:t>
    </w:r>
    <w:r>
      <w:t xml:space="preserve"> </w:t>
    </w:r>
    <w:r w:rsidR="00D7226A">
      <w:t xml:space="preserve">[1R] </w:t>
    </w:r>
    <w:r>
      <w:t>SINGLETON</w:t>
    </w:r>
  </w:p>
  <w:p w:rsidR="00BB5C59" w:rsidRDefault="00BB5C59" w:rsidP="00BB5C59">
    <w:pPr>
      <w:pStyle w:val="bpuHeadSpon"/>
    </w:pPr>
    <w:r>
      <w:fldChar w:fldCharType="begin"/>
    </w:r>
    <w:r>
      <w:instrText xml:space="preserve"> PAGE  \* MERGEFORMAT </w:instrText>
    </w:r>
    <w:r>
      <w:fldChar w:fldCharType="separate"/>
    </w:r>
    <w:r w:rsidR="00401409">
      <w:rPr>
        <w:noProof/>
      </w:rPr>
      <w:t>4</w:t>
    </w:r>
    <w:r>
      <w:fldChar w:fldCharType="end"/>
    </w:r>
  </w:p>
  <w:p w:rsidR="00BB5C59" w:rsidRDefault="00BB5C59" w:rsidP="00BB5C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C59" w:rsidRDefault="00BB5C59" w:rsidP="00BB5C59">
    <w:pPr>
      <w:pStyle w:val="bpuHeadSpon"/>
    </w:pPr>
    <w:r w:rsidRPr="00BB5C59">
      <w:rPr>
        <w:rStyle w:val="bpuHeadSponChar"/>
      </w:rPr>
      <w:t>S3579</w:t>
    </w:r>
    <w:r>
      <w:t xml:space="preserve"> </w:t>
    </w:r>
    <w:r w:rsidR="00D7226A">
      <w:t xml:space="preserve">[1R] </w:t>
    </w:r>
    <w:r>
      <w:t>SINGLETON</w:t>
    </w:r>
  </w:p>
  <w:p w:rsidR="00BB5C59" w:rsidRDefault="00BB5C59" w:rsidP="00BB5C59">
    <w:pPr>
      <w:pStyle w:val="bpuHeadSpon"/>
    </w:pPr>
    <w:r>
      <w:fldChar w:fldCharType="begin"/>
    </w:r>
    <w:r>
      <w:instrText xml:space="preserve"> PAGE  \* MERGEFORMAT </w:instrText>
    </w:r>
    <w:r>
      <w:fldChar w:fldCharType="separate"/>
    </w:r>
    <w:r w:rsidR="00401409">
      <w:rPr>
        <w:noProof/>
      </w:rPr>
      <w:t>2</w:t>
    </w:r>
    <w:r>
      <w:fldChar w:fldCharType="end"/>
    </w:r>
  </w:p>
  <w:p w:rsidR="00BB5C59" w:rsidRDefault="00BB5C59" w:rsidP="00BB5C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DE"/>
    <w:rsid w:val="000051BD"/>
    <w:rsid w:val="00014715"/>
    <w:rsid w:val="000160A5"/>
    <w:rsid w:val="0002335B"/>
    <w:rsid w:val="0003549A"/>
    <w:rsid w:val="000367AE"/>
    <w:rsid w:val="00043B22"/>
    <w:rsid w:val="00054975"/>
    <w:rsid w:val="00057D20"/>
    <w:rsid w:val="00061774"/>
    <w:rsid w:val="0006197C"/>
    <w:rsid w:val="0006281F"/>
    <w:rsid w:val="0008141C"/>
    <w:rsid w:val="00094A55"/>
    <w:rsid w:val="000A44A7"/>
    <w:rsid w:val="000B1054"/>
    <w:rsid w:val="000B2063"/>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4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4AE"/>
    <w:rsid w:val="002E09CE"/>
    <w:rsid w:val="002E69D1"/>
    <w:rsid w:val="002F3BA6"/>
    <w:rsid w:val="003120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409"/>
    <w:rsid w:val="0040195A"/>
    <w:rsid w:val="00402DC0"/>
    <w:rsid w:val="00411E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4DF"/>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CE0"/>
    <w:rsid w:val="00665CBC"/>
    <w:rsid w:val="00667A5C"/>
    <w:rsid w:val="00677316"/>
    <w:rsid w:val="00686AEB"/>
    <w:rsid w:val="006B7897"/>
    <w:rsid w:val="006B7FA7"/>
    <w:rsid w:val="006C086A"/>
    <w:rsid w:val="006C21C1"/>
    <w:rsid w:val="006C7327"/>
    <w:rsid w:val="006D00E5"/>
    <w:rsid w:val="006D2EDE"/>
    <w:rsid w:val="006D791B"/>
    <w:rsid w:val="006E2895"/>
    <w:rsid w:val="006F180D"/>
    <w:rsid w:val="006F4334"/>
    <w:rsid w:val="006F47AF"/>
    <w:rsid w:val="006F6B8A"/>
    <w:rsid w:val="00707CD3"/>
    <w:rsid w:val="00716BB9"/>
    <w:rsid w:val="007256D1"/>
    <w:rsid w:val="007279FD"/>
    <w:rsid w:val="00747248"/>
    <w:rsid w:val="007502CB"/>
    <w:rsid w:val="00752D79"/>
    <w:rsid w:val="00752E20"/>
    <w:rsid w:val="00756EDE"/>
    <w:rsid w:val="00764456"/>
    <w:rsid w:val="00771344"/>
    <w:rsid w:val="00781B4D"/>
    <w:rsid w:val="007824BF"/>
    <w:rsid w:val="00783B8D"/>
    <w:rsid w:val="00794B94"/>
    <w:rsid w:val="00794BD4"/>
    <w:rsid w:val="007A2F73"/>
    <w:rsid w:val="007A3061"/>
    <w:rsid w:val="007A5A0B"/>
    <w:rsid w:val="007B2321"/>
    <w:rsid w:val="007B570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6E6"/>
    <w:rsid w:val="008F1E5A"/>
    <w:rsid w:val="00901BDA"/>
    <w:rsid w:val="00904F6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EDB"/>
    <w:rsid w:val="0099682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619"/>
    <w:rsid w:val="00AB4813"/>
    <w:rsid w:val="00AC4BBE"/>
    <w:rsid w:val="00AC6466"/>
    <w:rsid w:val="00AC7639"/>
    <w:rsid w:val="00AD08BB"/>
    <w:rsid w:val="00AD0EC0"/>
    <w:rsid w:val="00AD70D6"/>
    <w:rsid w:val="00AD75BC"/>
    <w:rsid w:val="00AD7BB0"/>
    <w:rsid w:val="00AD7BC9"/>
    <w:rsid w:val="00AE1871"/>
    <w:rsid w:val="00AF0DB9"/>
    <w:rsid w:val="00AF1A8C"/>
    <w:rsid w:val="00AF2AC0"/>
    <w:rsid w:val="00B0116D"/>
    <w:rsid w:val="00B01173"/>
    <w:rsid w:val="00B02F35"/>
    <w:rsid w:val="00B05A3C"/>
    <w:rsid w:val="00B07100"/>
    <w:rsid w:val="00B1138C"/>
    <w:rsid w:val="00B2574A"/>
    <w:rsid w:val="00B35D8A"/>
    <w:rsid w:val="00B4111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C59"/>
    <w:rsid w:val="00BB5D79"/>
    <w:rsid w:val="00BB5F02"/>
    <w:rsid w:val="00BC1AC9"/>
    <w:rsid w:val="00BC7892"/>
    <w:rsid w:val="00BE24D6"/>
    <w:rsid w:val="00BE7EFA"/>
    <w:rsid w:val="00BF06AD"/>
    <w:rsid w:val="00BF260F"/>
    <w:rsid w:val="00BF2C67"/>
    <w:rsid w:val="00C04F4D"/>
    <w:rsid w:val="00C12E48"/>
    <w:rsid w:val="00C135BB"/>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D2A"/>
    <w:rsid w:val="00CD0F93"/>
    <w:rsid w:val="00CD1BD1"/>
    <w:rsid w:val="00CD528D"/>
    <w:rsid w:val="00CE78BF"/>
    <w:rsid w:val="00CF65EB"/>
    <w:rsid w:val="00CF72AD"/>
    <w:rsid w:val="00D02441"/>
    <w:rsid w:val="00D039F4"/>
    <w:rsid w:val="00D10496"/>
    <w:rsid w:val="00D10B47"/>
    <w:rsid w:val="00D11173"/>
    <w:rsid w:val="00D1215F"/>
    <w:rsid w:val="00D126BA"/>
    <w:rsid w:val="00D16561"/>
    <w:rsid w:val="00D17FF8"/>
    <w:rsid w:val="00D268AC"/>
    <w:rsid w:val="00D27FF3"/>
    <w:rsid w:val="00D343D0"/>
    <w:rsid w:val="00D3664D"/>
    <w:rsid w:val="00D500E9"/>
    <w:rsid w:val="00D507BC"/>
    <w:rsid w:val="00D6090A"/>
    <w:rsid w:val="00D62394"/>
    <w:rsid w:val="00D62FA3"/>
    <w:rsid w:val="00D63B6F"/>
    <w:rsid w:val="00D64A90"/>
    <w:rsid w:val="00D7226A"/>
    <w:rsid w:val="00D91159"/>
    <w:rsid w:val="00D9410B"/>
    <w:rsid w:val="00D9695B"/>
    <w:rsid w:val="00DA2417"/>
    <w:rsid w:val="00DA5585"/>
    <w:rsid w:val="00DB02AC"/>
    <w:rsid w:val="00DB6AA2"/>
    <w:rsid w:val="00DD721A"/>
    <w:rsid w:val="00DE10D1"/>
    <w:rsid w:val="00DE2514"/>
    <w:rsid w:val="00DE6851"/>
    <w:rsid w:val="00DF03EE"/>
    <w:rsid w:val="00E01B71"/>
    <w:rsid w:val="00E047B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59"/>
    <w:rsid w:val="00F344E3"/>
    <w:rsid w:val="00F34D58"/>
    <w:rsid w:val="00F40FC9"/>
    <w:rsid w:val="00F41A9D"/>
    <w:rsid w:val="00F44314"/>
    <w:rsid w:val="00F54B9C"/>
    <w:rsid w:val="00F56E96"/>
    <w:rsid w:val="00F5704C"/>
    <w:rsid w:val="00F573DD"/>
    <w:rsid w:val="00F61E59"/>
    <w:rsid w:val="00F63D99"/>
    <w:rsid w:val="00F6426B"/>
    <w:rsid w:val="00F709B3"/>
    <w:rsid w:val="00F71A5E"/>
    <w:rsid w:val="00F7539C"/>
    <w:rsid w:val="00F80AAC"/>
    <w:rsid w:val="00FA04F8"/>
    <w:rsid w:val="00FA0AFC"/>
    <w:rsid w:val="00FA1C82"/>
    <w:rsid w:val="00FA2ED1"/>
    <w:rsid w:val="00FA4A52"/>
    <w:rsid w:val="00FA7413"/>
    <w:rsid w:val="00FB4045"/>
    <w:rsid w:val="00FB4D8E"/>
    <w:rsid w:val="00FC0D0A"/>
    <w:rsid w:val="00FC1B0B"/>
    <w:rsid w:val="00FC6F25"/>
    <w:rsid w:val="00FD2F97"/>
    <w:rsid w:val="00FF0E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7A473-FF48-484B-A435-86977E7F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E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911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159"/>
    <w:rPr>
      <w:rFonts w:ascii="Segoe UI" w:hAnsi="Segoe UI" w:cs="Segoe UI"/>
      <w:spacing w:val="4"/>
      <w:sz w:val="18"/>
      <w:szCs w:val="18"/>
    </w:rPr>
  </w:style>
  <w:style w:type="character" w:styleId="LineNumber">
    <w:name w:val="line number"/>
    <w:basedOn w:val="DefaultParagraphFont"/>
    <w:semiHidden/>
    <w:unhideWhenUsed/>
    <w:rsid w:val="00BB5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1216</Words>
  <Characters>6070</Characters>
  <Application>Microsoft Office Word</Application>
  <DocSecurity>0</DocSecurity>
  <Lines>158</Lines>
  <Paragraphs>50</Paragraphs>
  <ScaleCrop>false</ScaleCrop>
  <HeadingPairs>
    <vt:vector size="2" baseType="variant">
      <vt:variant>
        <vt:lpstr>Title</vt:lpstr>
      </vt:variant>
      <vt:variant>
        <vt:i4>1</vt:i4>
      </vt:variant>
    </vt:vector>
  </HeadingPairs>
  <TitlesOfParts>
    <vt:vector size="1" baseType="lpstr">
      <vt:lpstr>S3579</vt:lpstr>
    </vt:vector>
  </TitlesOfParts>
  <Manager>R229</Manager>
  <Company>NJ Office of Legislative Services</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S3579 1R</dc:title>
  <dc:subject>20-11348 Children</dc:subject>
  <dc:creator>Senator  SINGLETON</dc:creator>
  <cp:keywords>S3579|4|HS |122|219|219|!||</cp:keywords>
  <dc:description>INTRODUCED MARCH 22, 2021_x000d_
Amended 6/21/21</dc:description>
  <cp:lastModifiedBy>Bell, Careema</cp:lastModifiedBy>
  <cp:revision>2</cp:revision>
  <cp:lastPrinted>2021-03-18T14:55:00Z</cp:lastPrinted>
  <dcterms:created xsi:type="dcterms:W3CDTF">2021-06-22T17:06:00Z</dcterms:created>
  <dcterms:modified xsi:type="dcterms:W3CDTF">2021-06-22T17:06:00Z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