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F148C3" w:rsidP="00DA6F1D">
      <w:pPr>
        <w:pStyle w:val="NormalFloor"/>
        <w:jc w:val="center"/>
        <w:rPr>
          <w:b/>
          <w:bCs/>
          <w:sz w:val="36"/>
          <w:szCs w:val="36"/>
        </w:rPr>
      </w:pPr>
      <w:r>
        <w:rPr>
          <w:b/>
          <w:bCs/>
          <w:sz w:val="36"/>
          <w:szCs w:val="36"/>
        </w:rPr>
        <w:t>SENATE, No. 3579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148C3">
        <w:t>Senate Floor Amendments</w:t>
      </w:r>
    </w:p>
    <w:p w:rsidR="00DA6F1D" w:rsidRDefault="00F148C3"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F148C3">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148C3" w:rsidRDefault="00F148C3" w:rsidP="00F148C3"/>
    <w:p w:rsidR="00F148C3" w:rsidRDefault="00F148C3" w:rsidP="00F148C3">
      <w:r>
        <w:tab/>
        <w:t>These floor amendments remove the requirement that the court conduct a permanency hearing at least every six months, if a child remains in placement more than 12 months, as originally provided in the bill, and stipulates that the court conduct a review hearing at least every three months.</w:t>
      </w:r>
    </w:p>
    <w:p w:rsidR="00F148C3" w:rsidRPr="00DA6F1D" w:rsidRDefault="00F148C3" w:rsidP="00A74B07">
      <w:r>
        <w:tab/>
        <w:t>The floor amendments require that at the quarterly review hearing, the court may, upon notice in accordance with court rules, review the permanency plan and any other issues related to the child’s health and well-being as the court deems appropriate.</w:t>
      </w:r>
    </w:p>
    <w:sectPr w:rsidR="00F148C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D5FF7"/>
    <w:rsid w:val="00135AE8"/>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148C3"/>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1FE736A-444D-4791-B132-C2640925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550</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S3579 Senate JUNE 21, 2021</vt:lpstr>
    </vt:vector>
  </TitlesOfParts>
  <Manager>R229</Manager>
  <Company>Office of Legislative Services</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S3579 Senate Statement  6/21/21</dc:title>
  <dc:subject/>
  <dc:creator>Senate</dc:creator>
  <cp:keywords>S3579|1|HS |122|0|0|!||</cp:keywords>
  <dc:description/>
  <cp:lastModifiedBy>Bell, Careema</cp:lastModifiedBy>
  <cp:revision>2</cp:revision>
  <dcterms:created xsi:type="dcterms:W3CDTF">2021-06-22T17:07:00Z</dcterms:created>
  <dcterms:modified xsi:type="dcterms:W3CDTF">2021-06-22T17:07:00Z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