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298" w:rsidRDefault="00370298" w:rsidP="00370298">
      <w:pPr>
        <w:pStyle w:val="bpuBill"/>
      </w:pPr>
      <w:bookmarkStart w:id="0" w:name="bpuFrontPg"/>
      <w:bookmarkStart w:id="1" w:name="_GoBack"/>
      <w:bookmarkEnd w:id="0"/>
      <w:bookmarkEnd w:id="1"/>
      <w:r>
        <w:t xml:space="preserve">SENATE, No. 3586 </w:t>
      </w:r>
    </w:p>
    <w:p w:rsidR="00370298" w:rsidRPr="009D38FF" w:rsidRDefault="00370298" w:rsidP="003702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04926" r:id="rId8"/>
        </w:object>
      </w:r>
    </w:p>
    <w:p w:rsidR="00370298" w:rsidRDefault="00370298" w:rsidP="00370298">
      <w:pPr>
        <w:pStyle w:val="bpuState"/>
      </w:pPr>
      <w:r>
        <w:t>STATE OF NEW JERSEY</w:t>
      </w:r>
    </w:p>
    <w:p w:rsidR="00370298" w:rsidRDefault="00370298" w:rsidP="00370298">
      <w:pPr>
        <w:pStyle w:val="bpuLegislature"/>
      </w:pPr>
      <w:r>
        <w:t>219th LEGISLATURE</w:t>
      </w:r>
    </w:p>
    <w:p w:rsidR="00370298" w:rsidRDefault="00370298" w:rsidP="00370298">
      <w:pPr>
        <w:pStyle w:val="bpuWpGraphic"/>
      </w:pPr>
      <w:r>
        <w:object w:dxaOrig="8985" w:dyaOrig="255">
          <v:shape id="_x0000_i1026" type="#_x0000_t75" style="width:6in;height:12pt" o:ole="">
            <v:imagedata r:id="rId7" o:title=""/>
          </v:shape>
          <o:OLEObject Type="Embed" ProgID="WPWin6.1" ShapeID="_x0000_i1026" DrawAspect="Content" ObjectID="_1678204927" r:id="rId9"/>
        </w:object>
      </w:r>
      <w:r>
        <w:t xml:space="preserve">  </w:t>
      </w:r>
    </w:p>
    <w:p w:rsidR="00370298" w:rsidRDefault="00370298" w:rsidP="00370298">
      <w:pPr>
        <w:pStyle w:val="bpuIntro"/>
      </w:pPr>
      <w:r>
        <w:t>INTRODUCED MARCH 25, 2021</w:t>
      </w:r>
    </w:p>
    <w:p w:rsidR="00370298" w:rsidRDefault="00370298" w:rsidP="00370298">
      <w:pPr>
        <w:pStyle w:val="bpuIntro"/>
      </w:pPr>
    </w:p>
    <w:p w:rsidR="00370298" w:rsidRDefault="00370298" w:rsidP="00370298">
      <w:pPr>
        <w:pStyle w:val="bpuIntro"/>
        <w:sectPr w:rsidR="00370298" w:rsidSect="00370298">
          <w:headerReference w:type="even" r:id="rId10"/>
          <w:headerReference w:type="default" r:id="rId11"/>
          <w:pgSz w:w="12240" w:h="20160" w:code="5"/>
          <w:pgMar w:top="2160" w:right="1440" w:bottom="1440" w:left="1440" w:header="72" w:footer="720" w:gutter="0"/>
          <w:pgNumType w:start="1"/>
          <w:cols w:space="720"/>
          <w:docGrid w:linePitch="360"/>
        </w:sectPr>
      </w:pPr>
    </w:p>
    <w:p w:rsidR="00370298" w:rsidRDefault="00370298" w:rsidP="00370298">
      <w:pPr>
        <w:pStyle w:val="bpuIntro"/>
      </w:pPr>
    </w:p>
    <w:p w:rsidR="00370298" w:rsidRDefault="00370298" w:rsidP="00370298">
      <w:pPr>
        <w:pStyle w:val="bpuSponsor"/>
      </w:pPr>
      <w:r>
        <w:t>Sponsored by:</w:t>
      </w:r>
    </w:p>
    <w:p w:rsidR="00370298" w:rsidRDefault="00370298" w:rsidP="00370298">
      <w:pPr>
        <w:pStyle w:val="bpuSponsor"/>
      </w:pPr>
      <w:r>
        <w:t>Senator  LINDA R. GREENSTEIN</w:t>
      </w:r>
    </w:p>
    <w:p w:rsidR="00370298" w:rsidRDefault="00370298" w:rsidP="00370298">
      <w:pPr>
        <w:pStyle w:val="bpuSponsor"/>
      </w:pPr>
      <w:r>
        <w:t>District 14 (Mercer and Middlesex)</w:t>
      </w:r>
    </w:p>
    <w:p w:rsidR="00370298" w:rsidRDefault="00370298" w:rsidP="00370298">
      <w:pPr>
        <w:pStyle w:val="bpuSponsor"/>
      </w:pPr>
    </w:p>
    <w:p w:rsidR="00370298" w:rsidRDefault="00370298" w:rsidP="00370298">
      <w:pPr>
        <w:pStyle w:val="bpuSponsor"/>
      </w:pPr>
    </w:p>
    <w:p w:rsidR="00370298" w:rsidRDefault="00370298" w:rsidP="00370298">
      <w:pPr>
        <w:pStyle w:val="bpuSponsor"/>
      </w:pPr>
    </w:p>
    <w:p w:rsidR="00370298" w:rsidRDefault="00370298" w:rsidP="00370298">
      <w:pPr>
        <w:pStyle w:val="bpuSponsor"/>
      </w:pPr>
    </w:p>
    <w:p w:rsidR="00370298" w:rsidRDefault="00370298" w:rsidP="00370298">
      <w:pPr>
        <w:pStyle w:val="bpuSponsor"/>
      </w:pPr>
      <w:r>
        <w:t>SYNOPSIS</w:t>
      </w:r>
    </w:p>
    <w:p w:rsidR="00370298" w:rsidRDefault="00370298" w:rsidP="00370298">
      <w:pPr>
        <w:pStyle w:val="bpuNormText"/>
      </w:pPr>
      <w:r>
        <w:tab/>
        <w:t xml:space="preserve">Permits counties and municipalities to bond for passenger cars and station wagons solely fueled by electric or renewable power sources. </w:t>
      </w:r>
    </w:p>
    <w:p w:rsidR="00370298" w:rsidRDefault="00370298" w:rsidP="00370298">
      <w:pPr>
        <w:pStyle w:val="bpuNormText"/>
      </w:pPr>
    </w:p>
    <w:p w:rsidR="00370298" w:rsidRDefault="00370298" w:rsidP="00370298">
      <w:pPr>
        <w:pStyle w:val="bpuSponsor"/>
      </w:pPr>
      <w:r>
        <w:t xml:space="preserve">CURRENT VERSION OF TEXT </w:t>
      </w:r>
    </w:p>
    <w:p w:rsidR="00370298" w:rsidRDefault="00370298" w:rsidP="00370298">
      <w:pPr>
        <w:pStyle w:val="bpuNormText"/>
      </w:pPr>
      <w:r>
        <w:tab/>
        <w:t>As introduced.</w:t>
      </w:r>
    </w:p>
    <w:p w:rsidR="00370298" w:rsidRDefault="00370298" w:rsidP="003702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0298" w:rsidRDefault="00370298" w:rsidP="008916EC">
      <w:pPr>
        <w:pStyle w:val="FronterPage"/>
        <w:tabs>
          <w:tab w:val="clear" w:pos="720"/>
          <w:tab w:val="clear" w:pos="1440"/>
          <w:tab w:val="clear" w:pos="2160"/>
          <w:tab w:val="clear" w:pos="2880"/>
          <w:tab w:val="clear" w:pos="3600"/>
          <w:tab w:val="clear" w:pos="4320"/>
          <w:tab w:val="clear" w:pos="5040"/>
        </w:tabs>
        <w:sectPr w:rsidR="00370298" w:rsidSect="00370298">
          <w:type w:val="continuous"/>
          <w:pgSz w:w="12240" w:h="20160" w:code="5"/>
          <w:pgMar w:top="1440" w:right="2275" w:bottom="1440" w:left="2275" w:header="72" w:footer="720" w:gutter="0"/>
          <w:pgNumType w:start="1"/>
          <w:cols w:space="720"/>
          <w:docGrid w:linePitch="360"/>
        </w:sectPr>
      </w:pPr>
    </w:p>
    <w:p w:rsidR="00E2728C" w:rsidRPr="00677316" w:rsidRDefault="00E2728C" w:rsidP="00E2728C">
      <w:pPr>
        <w:pStyle w:val="HangingAnAct"/>
        <w:rPr>
          <w:rStyle w:val="HangingAnActChar"/>
        </w:rPr>
      </w:pPr>
      <w:r w:rsidRPr="00E2728C">
        <w:rPr>
          <w:rStyle w:val="BillHead"/>
        </w:rPr>
        <w:lastRenderedPageBreak/>
        <w:t>An Act</w:t>
      </w:r>
      <w:r w:rsidRPr="006B7FA7">
        <w:rPr>
          <w:rStyle w:val="HangingAnActChar"/>
        </w:rPr>
        <w:t xml:space="preserve"> </w:t>
      </w:r>
      <w:r>
        <w:rPr>
          <w:rStyle w:val="HangingAnActChar"/>
        </w:rPr>
        <w:t>concerning local bonds and amending N.J.S.40A:2-22.</w:t>
      </w:r>
    </w:p>
    <w:p w:rsidR="00E2728C" w:rsidRPr="00D71D68" w:rsidRDefault="00E2728C" w:rsidP="00E2728C"/>
    <w:p w:rsidR="00E2728C" w:rsidRPr="00AA7880" w:rsidRDefault="00E2728C" w:rsidP="00E2728C">
      <w:r>
        <w:tab/>
      </w:r>
      <w:r>
        <w:rPr>
          <w:rStyle w:val="BillHeading2"/>
        </w:rPr>
        <w:t xml:space="preserve">Be It Enacted </w:t>
      </w:r>
      <w:r>
        <w:rPr>
          <w:rStyle w:val="BillLanguage"/>
        </w:rPr>
        <w:t>by the Senate and General Assembly of the State of New Jersey:</w:t>
      </w:r>
    </w:p>
    <w:p w:rsidR="00E2728C" w:rsidRPr="00D71D68" w:rsidRDefault="00E2728C" w:rsidP="00E2728C"/>
    <w:p w:rsidR="00E2728C" w:rsidRPr="00C74247" w:rsidRDefault="00E2728C" w:rsidP="00E2728C">
      <w:r>
        <w:tab/>
      </w:r>
      <w:r w:rsidRPr="00C74247">
        <w:t>1.</w:t>
      </w:r>
      <w:r w:rsidRPr="00C74247">
        <w:tab/>
        <w:t>N.J.S.40A:2-22 is amended to read as follows:</w:t>
      </w:r>
    </w:p>
    <w:p w:rsidR="00E2728C" w:rsidRDefault="00E2728C" w:rsidP="00E2728C">
      <w:r>
        <w:tab/>
        <w:t>40A:2-22.  The governing body of the local unit shall determine the period of usefulness of any purpose according to its reasonable life computed from the date of the bonds, which period shall not be greater than the following:</w:t>
      </w:r>
    </w:p>
    <w:p w:rsidR="00E2728C" w:rsidRDefault="00E2728C" w:rsidP="00E2728C">
      <w:r>
        <w:tab/>
        <w:t>a.</w:t>
      </w:r>
      <w:r>
        <w:tab/>
        <w:t>Buildings and structures.</w:t>
      </w:r>
    </w:p>
    <w:p w:rsidR="00E2728C" w:rsidRDefault="00E2728C" w:rsidP="00E2728C">
      <w:r>
        <w:tab/>
        <w:t>1.</w:t>
      </w:r>
      <w:r>
        <w:tab/>
        <w:t>Bridges, including retaining walls and approaches, or permanent structures of brick, stone, concrete or metal, or similar durable construction, 30 years.</w:t>
      </w:r>
    </w:p>
    <w:p w:rsidR="00E2728C" w:rsidRDefault="00E2728C" w:rsidP="00E2728C">
      <w:r>
        <w:tab/>
        <w:t>2.</w:t>
      </w:r>
      <w:r>
        <w:tab/>
        <w:t>Buildings, including the original furnishings and equipment therefor:</w:t>
      </w:r>
    </w:p>
    <w:p w:rsidR="00E2728C" w:rsidRDefault="00E2728C" w:rsidP="00E2728C">
      <w:r>
        <w:tab/>
        <w:t>Class A:  A building, of which all walls, floors, partitions, stairs and roof are wholly of incombustible material, except the window frames, doors, top flooring and wooden handrails on the stairs, 40 years;</w:t>
      </w:r>
    </w:p>
    <w:p w:rsidR="00E2728C" w:rsidRDefault="00E2728C" w:rsidP="00E2728C">
      <w:r>
        <w:tab/>
        <w:t xml:space="preserve">Class B:  A building, the outer walls of which are wholly of incombustible material, except the window frames and doors, 30 years; </w:t>
      </w:r>
    </w:p>
    <w:p w:rsidR="00E2728C" w:rsidRDefault="00E2728C" w:rsidP="00E2728C">
      <w:r>
        <w:tab/>
        <w:t>Class C:  A building which does not meet the requirements of Class A or Class B, 20 years.</w:t>
      </w:r>
    </w:p>
    <w:p w:rsidR="00E2728C" w:rsidRDefault="00E2728C" w:rsidP="00E2728C">
      <w:r>
        <w:tab/>
        <w:t>3.</w:t>
      </w:r>
      <w:r>
        <w:tab/>
        <w:t>Buildings or structures acquired substantially reconstructed or additions thereto, one-half the period fixed in this subsection for such buildings or structures.</w:t>
      </w:r>
    </w:p>
    <w:p w:rsidR="00E2728C" w:rsidRDefault="00E2728C" w:rsidP="00E2728C">
      <w:r>
        <w:tab/>
        <w:t>4.</w:t>
      </w:r>
      <w:r>
        <w:tab/>
        <w:t>Additional furnishings, five years.</w:t>
      </w:r>
    </w:p>
    <w:p w:rsidR="00E2728C" w:rsidRDefault="00E2728C" w:rsidP="00E2728C">
      <w:r>
        <w:tab/>
        <w:t>b.</w:t>
      </w:r>
      <w:r>
        <w:tab/>
        <w:t>Marine improvements.</w:t>
      </w:r>
    </w:p>
    <w:p w:rsidR="00E2728C" w:rsidRDefault="00E2728C" w:rsidP="00E2728C">
      <w:r>
        <w:tab/>
        <w:t>1.</w:t>
      </w:r>
      <w:r>
        <w:tab/>
        <w:t>Harbor improvements, docks or marine terminals, 40 years.</w:t>
      </w:r>
    </w:p>
    <w:p w:rsidR="00E2728C" w:rsidRDefault="00E2728C" w:rsidP="00E2728C">
      <w:r>
        <w:tab/>
        <w:t>2.</w:t>
      </w:r>
      <w:r>
        <w:tab/>
        <w:t xml:space="preserve">Dikes, bulkheads, jetties or similar devices of stone, concrete or metal, 15 years; of wood or partly of wood, 10 years.  </w:t>
      </w:r>
    </w:p>
    <w:p w:rsidR="00E2728C" w:rsidRDefault="00E2728C" w:rsidP="00E2728C">
      <w:r>
        <w:tab/>
        <w:t>c.</w:t>
      </w:r>
      <w:r>
        <w:tab/>
        <w:t>Additional equipment and machinery.</w:t>
      </w:r>
    </w:p>
    <w:p w:rsidR="00E2728C" w:rsidRDefault="00E2728C" w:rsidP="00E2728C">
      <w:r>
        <w:tab/>
        <w:t>1.</w:t>
      </w:r>
      <w:r>
        <w:tab/>
        <w:t>Additional or replacement equipment and machinery, 15 years.</w:t>
      </w:r>
    </w:p>
    <w:p w:rsidR="00E2728C" w:rsidRDefault="00E2728C" w:rsidP="00E2728C">
      <w:r>
        <w:tab/>
        <w:t>2.</w:t>
      </w:r>
      <w:r>
        <w:tab/>
        <w:t>Voting machines, 15 years.</w:t>
      </w:r>
    </w:p>
    <w:p w:rsidR="00E2728C" w:rsidRDefault="00E2728C" w:rsidP="00E2728C">
      <w:r>
        <w:tab/>
        <w:t>3.</w:t>
      </w:r>
      <w:r>
        <w:tab/>
        <w:t>Information technology and telecommunications equipment, 7 years, except that for items with a unit cost of less than $5,000, 5 years.</w:t>
      </w:r>
    </w:p>
    <w:p w:rsidR="00E2728C" w:rsidRDefault="00E2728C" w:rsidP="00E2728C">
      <w:r>
        <w:tab/>
        <w:t>d.</w:t>
      </w:r>
      <w:r>
        <w:tab/>
        <w:t>Real property.</w:t>
      </w:r>
    </w:p>
    <w:p w:rsidR="00E2728C" w:rsidRDefault="00E2728C" w:rsidP="00E2728C">
      <w:r>
        <w:tab/>
        <w:t>1.</w:t>
      </w:r>
      <w:r>
        <w:tab/>
        <w:t>Acquisition for any public purpose of lands or riparian rights, or both, and the original dredging, grading, draining or planting thereof, 40 years.</w:t>
      </w:r>
    </w:p>
    <w:p w:rsidR="00E2728C" w:rsidRDefault="00E2728C" w:rsidP="00E2728C">
      <w:r>
        <w:tab/>
        <w:t>2.</w:t>
      </w:r>
      <w:r>
        <w:tab/>
        <w:t xml:space="preserve">Improvement of airport, cemetery, golf course, park, playground, 15 years.  </w:t>
      </w:r>
    </w:p>
    <w:p w:rsidR="00E2728C" w:rsidRDefault="00E2728C" w:rsidP="00E2728C">
      <w:r>
        <w:tab/>
        <w:t>3.</w:t>
      </w:r>
      <w:r>
        <w:tab/>
        <w:t>Stadia of concrete or other incombustible materials, 20 years.</w:t>
      </w:r>
    </w:p>
    <w:p w:rsidR="00E2728C" w:rsidRDefault="00E2728C" w:rsidP="00E2728C">
      <w:r>
        <w:tab/>
        <w:t>e.</w:t>
      </w:r>
      <w:r>
        <w:tab/>
        <w:t>Streets or thoroughfares.</w:t>
      </w:r>
    </w:p>
    <w:p w:rsidR="00E2728C" w:rsidRDefault="00E2728C" w:rsidP="00E2728C">
      <w:r>
        <w:tab/>
        <w:t>1.</w:t>
      </w:r>
      <w:r>
        <w:tab/>
        <w:t>Elimination of grade crossings, 35 years.</w:t>
      </w:r>
    </w:p>
    <w:p w:rsidR="00E2728C" w:rsidRDefault="00E2728C" w:rsidP="00E2728C">
      <w:r>
        <w:tab/>
        <w:t>2.</w:t>
      </w:r>
      <w:r>
        <w:tab/>
        <w:t>Streets or roads:</w:t>
      </w:r>
    </w:p>
    <w:p w:rsidR="00E2728C" w:rsidRDefault="00E2728C" w:rsidP="00E2728C">
      <w:r>
        <w:tab/>
        <w:t>Class A:  Rigid pavement.  A pavement of not less than eight inches of cement concrete or a six-inch cement concrete base with not less than three-inch bituminous concrete surface course, or equivalent wearing surface, 20 years.</w:t>
      </w:r>
    </w:p>
    <w:p w:rsidR="00E2728C" w:rsidRDefault="00E2728C" w:rsidP="00E2728C">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E2728C" w:rsidRDefault="00E2728C" w:rsidP="00E2728C">
      <w:r>
        <w:tab/>
        <w:t>Class B:  Mixed surface-treated road.  An eight-inch surface of gravel, stone or other selected material under partial control mixed with cement or lime and fly ash, six inches in compacted thickness with bituminous surface treatment and cover, 10 years.</w:t>
      </w:r>
    </w:p>
    <w:p w:rsidR="00E2728C" w:rsidRDefault="00E2728C" w:rsidP="00E2728C">
      <w:r>
        <w:tab/>
        <w:t>Bituminous penetration road.  A five-inch gravel or stone base course and a three-inch course bound with a bituminous or equivalent binder, 10 years.</w:t>
      </w:r>
    </w:p>
    <w:p w:rsidR="00E2728C" w:rsidRDefault="00E2728C" w:rsidP="00E2728C">
      <w:r>
        <w:tab/>
        <w:t>Class C:  Mixed bituminous road.  An eight-inch surface of gravel, stone, or other selected material under partial control mixed with bituminous material one inch or more in compacted thickness, five years.</w:t>
      </w:r>
    </w:p>
    <w:p w:rsidR="00E2728C" w:rsidRDefault="00E2728C" w:rsidP="00E2728C">
      <w:r>
        <w:tab/>
        <w:t>Penetration macadam road.  A road of sand, gravel or water-bound macadam, or surfacing with penetration macadam, five years.</w:t>
      </w:r>
    </w:p>
    <w:p w:rsidR="00E2728C" w:rsidRDefault="00E2728C" w:rsidP="00E2728C">
      <w:r>
        <w:tab/>
        <w:t>3.</w:t>
      </w:r>
      <w:r>
        <w:tab/>
        <w:t>Sidewalks, curbs and gutters of stone, concrete or brick, 10 years.</w:t>
      </w:r>
    </w:p>
    <w:p w:rsidR="00E2728C" w:rsidRDefault="00E2728C" w:rsidP="00E2728C">
      <w:r>
        <w:tab/>
        <w:t>The period of usefulness in this subsection shall apply to construction and reconstruction of streets and thoroughfares.</w:t>
      </w:r>
    </w:p>
    <w:p w:rsidR="00E2728C" w:rsidRDefault="00E2728C" w:rsidP="00E2728C">
      <w:r>
        <w:tab/>
        <w:t>f.</w:t>
      </w:r>
      <w:r>
        <w:tab/>
        <w:t>Utilities and municipal systems.</w:t>
      </w:r>
    </w:p>
    <w:p w:rsidR="00E2728C" w:rsidRDefault="00E2728C" w:rsidP="00E2728C">
      <w:r>
        <w:tab/>
        <w:t>1.</w:t>
      </w:r>
      <w:r>
        <w:tab/>
        <w:t>Sewerage system, whether sanitary or storm water, water supply or distribution system, 40 years.</w:t>
      </w:r>
    </w:p>
    <w:p w:rsidR="00E2728C" w:rsidRDefault="00E2728C" w:rsidP="00E2728C">
      <w:r>
        <w:tab/>
        <w:t>2.</w:t>
      </w:r>
      <w:r>
        <w:tab/>
        <w:t>Electric light, power or gas systems, garbage, refuse or ashes incinerator or disposal plant, 25 years.</w:t>
      </w:r>
    </w:p>
    <w:p w:rsidR="00E2728C" w:rsidRDefault="00E2728C" w:rsidP="00E2728C">
      <w:r>
        <w:tab/>
        <w:t>3.</w:t>
      </w:r>
      <w:r>
        <w:tab/>
        <w:t>Communication and signal systems, 10 years.</w:t>
      </w:r>
    </w:p>
    <w:p w:rsidR="00E2728C" w:rsidRDefault="00E2728C" w:rsidP="00E2728C">
      <w:r>
        <w:tab/>
        <w:t>4.</w:t>
      </w:r>
      <w:r>
        <w:tab/>
        <w:t>House connections to publicly-owned gas, water or sewerage systems from the service main in the street to the curb or property lines where not part of original installation, five years.</w:t>
      </w:r>
    </w:p>
    <w:p w:rsidR="00E2728C" w:rsidRDefault="00E2728C" w:rsidP="00E2728C">
      <w:r>
        <w:tab/>
        <w:t>5.</w:t>
      </w:r>
      <w:r>
        <w:tab/>
        <w:t>House connections to publicly-owned water systems, from the distribution main onto privately-owned real property and into the privately-owned structure, for the purpose of replacing lead-contaminated house connections,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 30 years.</w:t>
      </w:r>
    </w:p>
    <w:p w:rsidR="00E2728C" w:rsidRDefault="00E2728C" w:rsidP="00E2728C">
      <w:r>
        <w:tab/>
        <w:t>g.</w:t>
      </w:r>
      <w:r>
        <w:tab/>
        <w:t>Vehicles and apparatus.</w:t>
      </w:r>
    </w:p>
    <w:p w:rsidR="00E2728C" w:rsidRDefault="00E2728C" w:rsidP="00E2728C">
      <w:r>
        <w:tab/>
        <w:t>1.</w:t>
      </w:r>
      <w:r>
        <w:tab/>
        <w:t>Fire engines, apparatus and equipment, when purchased new, but not fire equipment purchased separately, 10 years.</w:t>
      </w:r>
    </w:p>
    <w:p w:rsidR="00E2728C" w:rsidRDefault="00E2728C" w:rsidP="00E2728C">
      <w:r>
        <w:tab/>
        <w:t>2.</w:t>
      </w:r>
      <w:r>
        <w:tab/>
        <w:t>Automotive vehicles, including ori</w:t>
      </w:r>
      <w:r w:rsidR="00B76408">
        <w:t>ginal apparatus and equipment (</w:t>
      </w:r>
      <w:r w:rsidR="00CB4353">
        <w:t xml:space="preserve"> </w:t>
      </w:r>
      <w:r w:rsidRPr="00C35082">
        <w:rPr>
          <w:rFonts w:ascii="Albertus Extra Bold" w:hAnsi="Albertus Extra Bold"/>
          <w:b/>
        </w:rPr>
        <w:t>[</w:t>
      </w:r>
      <w:r>
        <w:t>other than</w:t>
      </w:r>
      <w:r w:rsidRPr="00C35082">
        <w:rPr>
          <w:rFonts w:ascii="Albertus Extra Bold" w:hAnsi="Albertus Extra Bold"/>
          <w:b/>
        </w:rPr>
        <w:t>]</w:t>
      </w:r>
      <w:r>
        <w:t xml:space="preserve"> </w:t>
      </w:r>
      <w:r>
        <w:rPr>
          <w:u w:val="single"/>
        </w:rPr>
        <w:t>excluding</w:t>
      </w:r>
      <w:r>
        <w:t xml:space="preserve"> passenger cars and station wagons </w:t>
      </w:r>
      <w:r>
        <w:rPr>
          <w:u w:val="single"/>
        </w:rPr>
        <w:t xml:space="preserve">that are not solely fueled by </w:t>
      </w:r>
      <w:r w:rsidRPr="004201F7">
        <w:rPr>
          <w:u w:val="single"/>
        </w:rPr>
        <w:t>a battery or equivalent energy storage device charged from an electricity supply external to the vehicle</w:t>
      </w:r>
      <w:r>
        <w:rPr>
          <w:u w:val="single"/>
        </w:rPr>
        <w:t xml:space="preserve"> or by a renewable power source</w:t>
      </w:r>
      <w:r>
        <w:t xml:space="preserve"> ), when purchased new, five years.</w:t>
      </w:r>
    </w:p>
    <w:p w:rsidR="00E2728C" w:rsidRDefault="00E2728C" w:rsidP="00E2728C">
      <w:r>
        <w:tab/>
        <w:t>3.</w:t>
      </w:r>
      <w:r>
        <w:tab/>
        <w:t>Major repairs, reconditioning or overhaul of fire engines and apparatus, ambulances, rescue vehicles, and s</w:t>
      </w:r>
      <w:r w:rsidR="00B76408">
        <w:t>imilar public safety vehicles (</w:t>
      </w:r>
      <w:r w:rsidR="00CB4353">
        <w:t xml:space="preserve"> </w:t>
      </w:r>
      <w:r w:rsidRPr="00C35082">
        <w:rPr>
          <w:rFonts w:ascii="Albertus Extra Bold" w:hAnsi="Albertus Extra Bold"/>
          <w:b/>
        </w:rPr>
        <w:t>[</w:t>
      </w:r>
      <w:r>
        <w:t>other than</w:t>
      </w:r>
      <w:r w:rsidRPr="00C35082">
        <w:rPr>
          <w:rFonts w:ascii="Albertus Extra Bold" w:hAnsi="Albertus Extra Bold"/>
          <w:b/>
        </w:rPr>
        <w:t>]</w:t>
      </w:r>
      <w:r>
        <w:t xml:space="preserve"> </w:t>
      </w:r>
      <w:r>
        <w:rPr>
          <w:u w:val="single"/>
        </w:rPr>
        <w:t>excluding</w:t>
      </w:r>
      <w:r>
        <w:t xml:space="preserve"> passenger cars and station wagons </w:t>
      </w:r>
      <w:r>
        <w:rPr>
          <w:u w:val="single"/>
        </w:rPr>
        <w:t xml:space="preserve">that are not solely fueled by </w:t>
      </w:r>
      <w:r w:rsidRPr="004201F7">
        <w:rPr>
          <w:u w:val="single"/>
        </w:rPr>
        <w:t>a battery or equivalent energy storage device charged from an electricity supply external to the vehicle</w:t>
      </w:r>
      <w:r>
        <w:rPr>
          <w:u w:val="single"/>
        </w:rPr>
        <w:t xml:space="preserve"> or by a renewable power source</w:t>
      </w:r>
      <w:r>
        <w:t xml:space="preserve"> ) which may reasonably be expected to extend for at least five years the period of usefulness thereof, five years.</w:t>
      </w:r>
    </w:p>
    <w:p w:rsidR="00E2728C" w:rsidRDefault="00E2728C" w:rsidP="00E2728C">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E2728C" w:rsidRDefault="00E2728C" w:rsidP="00E2728C">
      <w:r>
        <w:tab/>
        <w:t>i.</w:t>
      </w:r>
      <w:r>
        <w:tab/>
        <w:t xml:space="preserve">(Deleted by amendment, P.L.2007, c.62.) </w:t>
      </w:r>
    </w:p>
    <w:p w:rsidR="00E2728C" w:rsidRDefault="00E2728C" w:rsidP="00E2728C">
      <w:r>
        <w:tab/>
        <w:t>j.</w:t>
      </w:r>
      <w:r>
        <w:tab/>
        <w:t>The prefunding of a claims account for environmental liability claims by an environmental impairment liability insurance pool pursuant to P.L.1993, c.269 (C.40A:10-38.1 et al.), 20 years.</w:t>
      </w:r>
    </w:p>
    <w:p w:rsidR="00E2728C" w:rsidRDefault="006174F0" w:rsidP="00E2728C">
      <w:r>
        <w:t>(</w:t>
      </w:r>
      <w:proofErr w:type="spellStart"/>
      <w:r>
        <w:t>cf</w:t>
      </w:r>
      <w:proofErr w:type="spellEnd"/>
      <w:r>
        <w:t xml:space="preserve">: </w:t>
      </w:r>
      <w:r w:rsidR="00E2728C">
        <w:t>P.L.2018, c.114, s.4)</w:t>
      </w:r>
    </w:p>
    <w:p w:rsidR="00E2728C" w:rsidRDefault="00E2728C" w:rsidP="00E2728C"/>
    <w:p w:rsidR="00E2728C" w:rsidRDefault="00E2728C" w:rsidP="00E2728C">
      <w:r>
        <w:tab/>
        <w:t>2.</w:t>
      </w:r>
      <w:r>
        <w:tab/>
        <w:t>This act shall take effect immediately.</w:t>
      </w:r>
    </w:p>
    <w:p w:rsidR="00E2728C" w:rsidRDefault="00E2728C" w:rsidP="00E2728C"/>
    <w:p w:rsidR="00686AEB" w:rsidRDefault="00686AEB" w:rsidP="00686AEB"/>
    <w:p w:rsidR="004E38CD" w:rsidRDefault="004E38CD" w:rsidP="004E38CD">
      <w:pPr>
        <w:jc w:val="center"/>
      </w:pPr>
      <w:r>
        <w:t>STATEMENT</w:t>
      </w:r>
    </w:p>
    <w:p w:rsidR="004E38CD" w:rsidRDefault="004E38CD" w:rsidP="004E38CD">
      <w:pPr>
        <w:jc w:val="center"/>
      </w:pPr>
    </w:p>
    <w:p w:rsidR="004E38CD" w:rsidRDefault="004E38CD" w:rsidP="00187F98">
      <w:r>
        <w:tab/>
        <w:t xml:space="preserve">This bill would permit counties and municipalities to issue bonds to acquire certain environmentally friendly passenger cars and station wagons. </w:t>
      </w:r>
    </w:p>
    <w:p w:rsidR="004E38CD" w:rsidRDefault="004E38CD" w:rsidP="00187F98">
      <w:r>
        <w:tab/>
        <w:t xml:space="preserve">Under current law, counties and municipalities may only issue bonds to finance certain projects having a period of usefulness of at least five years. Additionally, the Local Bond Law, N.J.S.40A:2-1 et seq., specifically excludes passenger cars and station wagons from the category of newly purchased automotive vehicles that are deemed to have a maximum period of usefulness of five years. </w:t>
      </w:r>
    </w:p>
    <w:p w:rsidR="004E38CD" w:rsidRDefault="00187F98" w:rsidP="00187F98">
      <w:r>
        <w:tab/>
      </w:r>
      <w:r w:rsidR="004E38CD">
        <w:t>The bill would amend this exclusion in the Local Bond Law in order to allow permit counties and municipalities to bond for</w:t>
      </w:r>
      <w:r>
        <w:t xml:space="preserve"> </w:t>
      </w:r>
      <w:r w:rsidR="004E38CD">
        <w:t>passenger cars and station wagons that are solely fueled by a battery or equivalent energy storage device charged from an electricity supply external to the vehicle or by a renewable power source. Other passenger cars and station wagons would continue to be excluded.</w:t>
      </w:r>
    </w:p>
    <w:sectPr w:rsidR="004E38CD" w:rsidSect="0037029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435" w:rsidRDefault="006F5435">
      <w:r>
        <w:separator/>
      </w:r>
    </w:p>
  </w:endnote>
  <w:endnote w:type="continuationSeparator" w:id="0">
    <w:p w:rsidR="006F5435" w:rsidRDefault="006F5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0F7" w:rsidRPr="00921C91" w:rsidRDefault="006650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50F7" w:rsidRPr="00921C91" w:rsidRDefault="006650F7">
    <w:pPr>
      <w:pStyle w:val="Footer"/>
      <w:rPr>
        <w:szCs w:val="18"/>
      </w:rPr>
    </w:pPr>
  </w:p>
  <w:p w:rsidR="006650F7" w:rsidRPr="00921C91" w:rsidRDefault="006650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0F7" w:rsidRDefault="006650F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435" w:rsidRDefault="006F5435">
      <w:r>
        <w:separator/>
      </w:r>
    </w:p>
  </w:footnote>
  <w:footnote w:type="continuationSeparator" w:id="0">
    <w:p w:rsidR="006F5435" w:rsidRDefault="006F5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15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0298" w:rsidRDefault="00370298" w:rsidP="00370298">
    <w:pPr>
      <w:pStyle w:val="bpuHeadSpon"/>
    </w:pPr>
    <w:r w:rsidRPr="00370298">
      <w:rPr>
        <w:rStyle w:val="bpuHeadSponChar"/>
      </w:rPr>
      <w:t>S3586</w:t>
    </w:r>
    <w:r>
      <w:t xml:space="preserve"> GREENSTEIN</w:t>
    </w:r>
  </w:p>
  <w:p w:rsidR="00370298" w:rsidRDefault="00370298" w:rsidP="00370298">
    <w:pPr>
      <w:pStyle w:val="bpuHeadSpon"/>
    </w:pPr>
    <w:r>
      <w:fldChar w:fldCharType="begin"/>
    </w:r>
    <w:r>
      <w:instrText xml:space="preserve"> PAGE  \* MERGEFORMAT </w:instrText>
    </w:r>
    <w:r>
      <w:fldChar w:fldCharType="separate"/>
    </w:r>
    <w:r w:rsidR="009C150F">
      <w:rPr>
        <w:noProof/>
      </w:rPr>
      <w:t>5</w:t>
    </w:r>
    <w:r>
      <w:fldChar w:fldCharType="end"/>
    </w:r>
  </w:p>
  <w:p w:rsidR="00370298" w:rsidRDefault="00370298" w:rsidP="003702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0298" w:rsidRDefault="00370298" w:rsidP="00370298">
    <w:pPr>
      <w:pStyle w:val="bpuHeadSpon"/>
    </w:pPr>
    <w:r w:rsidRPr="00370298">
      <w:rPr>
        <w:rStyle w:val="bpuHeadSponChar"/>
      </w:rPr>
      <w:t>S3586</w:t>
    </w:r>
    <w:r>
      <w:t xml:space="preserve"> GREENSTEIN</w:t>
    </w:r>
  </w:p>
  <w:p w:rsidR="00370298" w:rsidRDefault="00370298" w:rsidP="00370298">
    <w:pPr>
      <w:pStyle w:val="bpuHeadSpon"/>
    </w:pPr>
    <w:r>
      <w:fldChar w:fldCharType="begin"/>
    </w:r>
    <w:r>
      <w:instrText xml:space="preserve"> PAGE  \* MERGEFORMAT </w:instrText>
    </w:r>
    <w:r>
      <w:fldChar w:fldCharType="separate"/>
    </w:r>
    <w:r w:rsidR="009C150F">
      <w:rPr>
        <w:noProof/>
      </w:rPr>
      <w:t>2</w:t>
    </w:r>
    <w:r>
      <w:fldChar w:fldCharType="end"/>
    </w:r>
  </w:p>
  <w:p w:rsidR="00370298" w:rsidRDefault="00370298" w:rsidP="003702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43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87F9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98"/>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A6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8C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4F0"/>
    <w:rsid w:val="00621076"/>
    <w:rsid w:val="00621B94"/>
    <w:rsid w:val="00626239"/>
    <w:rsid w:val="00635316"/>
    <w:rsid w:val="00635449"/>
    <w:rsid w:val="006378C5"/>
    <w:rsid w:val="00645E6A"/>
    <w:rsid w:val="006650F7"/>
    <w:rsid w:val="00665CBC"/>
    <w:rsid w:val="00667A5C"/>
    <w:rsid w:val="006715C8"/>
    <w:rsid w:val="00677316"/>
    <w:rsid w:val="00686AEB"/>
    <w:rsid w:val="006B7897"/>
    <w:rsid w:val="006B7FA7"/>
    <w:rsid w:val="006C086A"/>
    <w:rsid w:val="006C21C1"/>
    <w:rsid w:val="006C7327"/>
    <w:rsid w:val="006D00E5"/>
    <w:rsid w:val="006D791B"/>
    <w:rsid w:val="006E2895"/>
    <w:rsid w:val="006F180D"/>
    <w:rsid w:val="006F4334"/>
    <w:rsid w:val="006F47AF"/>
    <w:rsid w:val="006F5435"/>
    <w:rsid w:val="006F6B8A"/>
    <w:rsid w:val="00707CD3"/>
    <w:rsid w:val="00716BB9"/>
    <w:rsid w:val="007256D1"/>
    <w:rsid w:val="007279FD"/>
    <w:rsid w:val="007319C6"/>
    <w:rsid w:val="007502CB"/>
    <w:rsid w:val="00752D79"/>
    <w:rsid w:val="00752E20"/>
    <w:rsid w:val="00756EDE"/>
    <w:rsid w:val="00764060"/>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E70"/>
    <w:rsid w:val="00997152"/>
    <w:rsid w:val="009972CD"/>
    <w:rsid w:val="009A0E9C"/>
    <w:rsid w:val="009A45DA"/>
    <w:rsid w:val="009B06D2"/>
    <w:rsid w:val="009B34EC"/>
    <w:rsid w:val="009B5D67"/>
    <w:rsid w:val="009B6176"/>
    <w:rsid w:val="009C0D22"/>
    <w:rsid w:val="009C150F"/>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0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998"/>
    <w:rsid w:val="00B02F35"/>
    <w:rsid w:val="00B05A3C"/>
    <w:rsid w:val="00B07100"/>
    <w:rsid w:val="00B1138C"/>
    <w:rsid w:val="00B2574A"/>
    <w:rsid w:val="00B35D8A"/>
    <w:rsid w:val="00B427BD"/>
    <w:rsid w:val="00B45B34"/>
    <w:rsid w:val="00B57047"/>
    <w:rsid w:val="00B61D86"/>
    <w:rsid w:val="00B6342D"/>
    <w:rsid w:val="00B726BD"/>
    <w:rsid w:val="00B732BC"/>
    <w:rsid w:val="00B76408"/>
    <w:rsid w:val="00B90E33"/>
    <w:rsid w:val="00B9676B"/>
    <w:rsid w:val="00B96A0C"/>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5DE"/>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435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0DC"/>
    <w:rsid w:val="00DA2417"/>
    <w:rsid w:val="00DA5585"/>
    <w:rsid w:val="00DB02AC"/>
    <w:rsid w:val="00DB21F5"/>
    <w:rsid w:val="00DB6AA2"/>
    <w:rsid w:val="00DE10D1"/>
    <w:rsid w:val="00DE2514"/>
    <w:rsid w:val="00DE6851"/>
    <w:rsid w:val="00DF03EE"/>
    <w:rsid w:val="00E01B71"/>
    <w:rsid w:val="00E05CC9"/>
    <w:rsid w:val="00E15573"/>
    <w:rsid w:val="00E25A5B"/>
    <w:rsid w:val="00E2728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F9D"/>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92F383E-82D2-4E0D-B63E-A762EDC91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70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12BAD-6ADF-4B9F-BA8E-E391104C3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1249</Words>
  <Characters>6921</Characters>
  <Application>Microsoft Office Word</Application>
  <DocSecurity>0</DocSecurity>
  <Lines>176</Lines>
  <Paragraphs>64</Paragraphs>
  <ScaleCrop>false</ScaleCrop>
  <HeadingPairs>
    <vt:vector size="2" baseType="variant">
      <vt:variant>
        <vt:lpstr>Title</vt:lpstr>
      </vt:variant>
      <vt:variant>
        <vt:i4>1</vt:i4>
      </vt:variant>
    </vt:vector>
  </HeadingPairs>
  <TitlesOfParts>
    <vt:vector size="1" baseType="lpstr">
      <vt:lpstr>S3586</vt:lpstr>
    </vt:vector>
  </TitlesOfParts>
  <Manager>R224</Manager>
  <Company>NJ Office of Legislative Services</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S3586</dc:title>
  <dc:subject/>
  <dc:creator>Senator  GREENSTEIN</dc:creator>
  <cp:keywords>S3586|5|LG |317|0|317|N|0|</cp:keywords>
  <dc:description>INTRODUCED MARCH 25, 2021</dc:description>
  <cp:lastModifiedBy>Franks, Denise</cp:lastModifiedBy>
  <cp:revision>2</cp:revision>
  <cp:lastPrinted>2021-03-23T15:54:00Z</cp:lastPrinted>
  <dcterms:created xsi:type="dcterms:W3CDTF">2021-03-25T23:15:00Z</dcterms:created>
  <dcterms:modified xsi:type="dcterms:W3CDTF">2021-03-25T23:15:00Z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