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5319B" w:rsidP="00407C9E">
      <w:pPr>
        <w:pStyle w:val="NoteOrEstimate"/>
      </w:pPr>
      <w:r>
        <w:t>LEGISLATIVE FISCAL ESTIMATE</w:t>
      </w:r>
    </w:p>
    <w:p w:rsidR="003C5892" w:rsidRDefault="00A5319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3603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E7DA8" w:rsidP="005E7DA8">
      <w:pPr>
        <w:pStyle w:val="BillNo"/>
      </w:pPr>
      <w:r>
        <w:t>219th LEGISLATURE</w:t>
      </w:r>
    </w:p>
    <w:p w:rsidR="00353325" w:rsidRDefault="00353325" w:rsidP="00353325"/>
    <w:p w:rsidR="005E7DA8" w:rsidRDefault="005E7DA8" w:rsidP="005E7DA8">
      <w:pPr>
        <w:jc w:val="center"/>
      </w:pPr>
      <w:r>
        <w:t>DATED: OCTOBER 21, 2021</w:t>
      </w:r>
    </w:p>
    <w:p w:rsidR="005E7DA8" w:rsidRDefault="005E7DA8" w:rsidP="00353325"/>
    <w:p w:rsidR="005E7DA8" w:rsidRDefault="005E7DA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E2C65" w:rsidP="00515AC5">
            <w:r>
              <w:t>Increases, from 18 percent to 30 percent, amount of rental payments defined as rent constituting property taxes for purposes of deduction from gross income for property tax payments.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E2C65" w:rsidP="00515AC5">
            <w:r>
              <w:t>Annual reduction in gross income tax revenue deposited into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E2C65"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220"/>
        <w:gridCol w:w="5140"/>
        <w:gridCol w:w="15"/>
      </w:tblGrid>
      <w:tr w:rsidR="00C75246" w:rsidTr="006E2C65">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E2C65" w:rsidTr="006E2C65">
        <w:trPr>
          <w:gridAfter w:val="1"/>
          <w:wAfter w:w="15" w:type="dxa"/>
          <w:trHeight w:val="410"/>
        </w:trPr>
        <w:tc>
          <w:tcPr>
            <w:tcW w:w="4220" w:type="dxa"/>
            <w:tcBorders>
              <w:top w:val="single" w:sz="6" w:space="0" w:color="auto"/>
              <w:left w:val="single" w:sz="6" w:space="0" w:color="auto"/>
              <w:bottom w:val="single" w:sz="12" w:space="0" w:color="auto"/>
              <w:right w:val="nil"/>
            </w:tcBorders>
            <w:shd w:val="pct20" w:color="auto" w:fill="auto"/>
            <w:vAlign w:val="bottom"/>
          </w:tcPr>
          <w:p w:rsidR="006E2C65" w:rsidRPr="00F11982" w:rsidRDefault="006E2C6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140" w:type="dxa"/>
            <w:tcBorders>
              <w:top w:val="single" w:sz="6" w:space="0" w:color="auto"/>
              <w:left w:val="nil"/>
              <w:bottom w:val="single" w:sz="12" w:space="0" w:color="auto"/>
              <w:right w:val="single" w:sz="6" w:space="0" w:color="auto"/>
            </w:tcBorders>
            <w:shd w:val="pct20" w:color="auto" w:fill="auto"/>
            <w:vAlign w:val="bottom"/>
          </w:tcPr>
          <w:p w:rsidR="006E2C65" w:rsidRPr="00F11982" w:rsidRDefault="006E2C65" w:rsidP="006E2C65">
            <w:pPr>
              <w:tabs>
                <w:tab w:val="left" w:pos="360"/>
                <w:tab w:val="left" w:pos="720"/>
                <w:tab w:val="left" w:pos="1440"/>
                <w:tab w:val="left" w:pos="2160"/>
                <w:tab w:val="left" w:pos="2880"/>
                <w:tab w:val="left" w:pos="3600"/>
                <w:tab w:val="left" w:pos="4320"/>
                <w:tab w:val="left" w:pos="5040"/>
              </w:tabs>
              <w:jc w:val="center"/>
              <w:rPr>
                <w:b/>
              </w:rPr>
            </w:pPr>
            <w:r>
              <w:rPr>
                <w:b/>
                <w:u w:val="single"/>
              </w:rPr>
              <w:t>FY 2022 and Each FY Thereafter</w:t>
            </w:r>
          </w:p>
        </w:tc>
      </w:tr>
      <w:tr w:rsidR="006E2C65" w:rsidTr="006E2C65">
        <w:trPr>
          <w:gridAfter w:val="1"/>
          <w:wAfter w:w="15" w:type="dxa"/>
          <w:trHeight w:val="410"/>
        </w:trPr>
        <w:tc>
          <w:tcPr>
            <w:tcW w:w="4220" w:type="dxa"/>
            <w:tcBorders>
              <w:top w:val="nil"/>
              <w:left w:val="single" w:sz="6" w:space="0" w:color="auto"/>
              <w:bottom w:val="nil"/>
              <w:right w:val="nil"/>
            </w:tcBorders>
            <w:tcMar>
              <w:bottom w:w="29" w:type="dxa"/>
            </w:tcMar>
            <w:vAlign w:val="bottom"/>
          </w:tcPr>
          <w:p w:rsidR="006E2C65" w:rsidRPr="00F11982" w:rsidRDefault="006E2C65"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5140" w:type="dxa"/>
            <w:tcBorders>
              <w:top w:val="nil"/>
              <w:left w:val="nil"/>
              <w:bottom w:val="nil"/>
              <w:right w:val="single" w:sz="6" w:space="0" w:color="auto"/>
            </w:tcBorders>
            <w:tcMar>
              <w:bottom w:w="29" w:type="dxa"/>
            </w:tcMar>
            <w:vAlign w:val="bottom"/>
          </w:tcPr>
          <w:p w:rsidR="006E2C65" w:rsidRDefault="00506711" w:rsidP="002D7863">
            <w:pPr>
              <w:tabs>
                <w:tab w:val="left" w:pos="360"/>
                <w:tab w:val="left" w:pos="720"/>
                <w:tab w:val="left" w:pos="1440"/>
                <w:tab w:val="left" w:pos="2160"/>
                <w:tab w:val="left" w:pos="2880"/>
                <w:tab w:val="left" w:pos="3600"/>
                <w:tab w:val="left" w:pos="4320"/>
                <w:tab w:val="left" w:pos="5040"/>
              </w:tabs>
              <w:jc w:val="center"/>
            </w:pPr>
            <w:r>
              <w:t>$8</w:t>
            </w:r>
            <w:r w:rsidR="00087CD0">
              <w:t>2.6</w:t>
            </w:r>
            <w:r>
              <w:t xml:space="preserve"> million to $</w:t>
            </w:r>
            <w:r w:rsidR="00087CD0">
              <w:t>130</w:t>
            </w:r>
            <w:r>
              <w:t>.5 million</w:t>
            </w:r>
          </w:p>
        </w:tc>
      </w:tr>
      <w:tr w:rsidR="00C75246" w:rsidTr="006E2C6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06711" w:rsidP="005E7DA8">
      <w:pPr>
        <w:pStyle w:val="StyleBulletedSymbolsymbol"/>
        <w:spacing w:after="0"/>
      </w:pPr>
      <w:r w:rsidRPr="00506711">
        <w:t>The Office of Legislative Services (OLS) estimates that increasing the amount of rent constituting property taxes</w:t>
      </w:r>
      <w:r w:rsidR="00087CD0">
        <w:t>, which would allow income taxpayers to deduct a higher amount of rent from their gross income,</w:t>
      </w:r>
      <w:r w:rsidRPr="00506711">
        <w:t xml:space="preserve"> could reduce </w:t>
      </w:r>
      <w:r w:rsidR="0025648F">
        <w:t>State</w:t>
      </w:r>
      <w:r w:rsidRPr="00506711">
        <w:t xml:space="preserve"> revenues by roughly $8</w:t>
      </w:r>
      <w:r w:rsidR="00087CD0">
        <w:t>2.6</w:t>
      </w:r>
      <w:r w:rsidRPr="00506711">
        <w:t xml:space="preserve"> million to $1</w:t>
      </w:r>
      <w:r w:rsidR="00087CD0">
        <w:t>30.5</w:t>
      </w:r>
      <w:r w:rsidRPr="00506711">
        <w:t xml:space="preserve"> million annually.</w:t>
      </w:r>
    </w:p>
    <w:p w:rsidR="005E7DA8" w:rsidRDefault="005E7DA8" w:rsidP="005E7DA8">
      <w:pPr>
        <w:pStyle w:val="StyleBulletedSymbolsymbol"/>
        <w:numPr>
          <w:ilvl w:val="0"/>
          <w:numId w:val="0"/>
        </w:numPr>
        <w:spacing w:after="0"/>
        <w:ind w:left="360" w:hanging="360"/>
      </w:pPr>
    </w:p>
    <w:p w:rsidR="00506711" w:rsidRDefault="00506711" w:rsidP="005E7DA8">
      <w:pPr>
        <w:pStyle w:val="StyleBulletedSymbolsymbol"/>
        <w:spacing w:after="0"/>
      </w:pPr>
      <w:r>
        <w:t xml:space="preserve">The OLS notes that the COVID-19 pandemic has affected both occupancies and the price of rent.  The actual impact of the bill may initially vary from the OLS estimate, since the rental market in New Jersey is still recovering from the pandemic. </w:t>
      </w:r>
    </w:p>
    <w:p w:rsidR="005E7DA8" w:rsidRDefault="005E7DA8" w:rsidP="005E7DA8">
      <w:pPr>
        <w:pStyle w:val="ListParagraph"/>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E2C65" w:rsidRDefault="006E2C65" w:rsidP="006E2C65">
      <w:pPr>
        <w:tabs>
          <w:tab w:val="left" w:pos="360"/>
          <w:tab w:val="left" w:pos="720"/>
          <w:tab w:val="left" w:pos="1440"/>
          <w:tab w:val="left" w:pos="2160"/>
          <w:tab w:val="left" w:pos="2880"/>
          <w:tab w:val="left" w:pos="3600"/>
          <w:tab w:val="left" w:pos="4320"/>
          <w:tab w:val="left" w:pos="5040"/>
        </w:tabs>
      </w:pPr>
      <w:r>
        <w:tab/>
        <w:t>This bill increases the amount of rent constituting property taxes from 18 percent of rent paid to 30 percent of rent paid.</w:t>
      </w:r>
    </w:p>
    <w:p w:rsidR="005E7DA8" w:rsidRDefault="006E2C65" w:rsidP="002D7863">
      <w:pPr>
        <w:tabs>
          <w:tab w:val="left" w:pos="360"/>
          <w:tab w:val="left" w:pos="720"/>
          <w:tab w:val="left" w:pos="1440"/>
          <w:tab w:val="left" w:pos="2160"/>
          <w:tab w:val="left" w:pos="2880"/>
          <w:tab w:val="left" w:pos="3600"/>
          <w:tab w:val="left" w:pos="4320"/>
          <w:tab w:val="left" w:pos="5040"/>
        </w:tabs>
      </w:pPr>
      <w:r>
        <w:tab/>
        <w:t xml:space="preserve">Under the Property Tax Deduction Act, a taxpayer is entitled to a deduction of up to $15,000 from gross income for property taxes, or the rental equivalent thereof paid by tenants, due and paid for that calendar year on a taxpayer’s homestead.  For tenants, the amount of the deduction is based on the amount of rent constituting property taxes.  Current law sets the amount of rent constituting property taxes at 18 percent of the rent paid by the taxpayer for the occupancy, during the taxable year, of a unit of residential real property </w:t>
      </w:r>
      <w:r w:rsidR="002A2860">
        <w:t>that</w:t>
      </w:r>
      <w:r>
        <w:t xml:space="preserve"> the taxpayer occupies </w:t>
      </w:r>
      <w:r w:rsidR="00087CD0">
        <w:t xml:space="preserve">as </w:t>
      </w:r>
      <w:r>
        <w:t xml:space="preserve">a principal residence. </w:t>
      </w:r>
    </w:p>
    <w:p w:rsidR="005E7DA8" w:rsidRDefault="005E7DA8">
      <w:pPr>
        <w:spacing w:line="240" w:lineRule="auto"/>
        <w:jc w:val="left"/>
      </w:pPr>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A16AD" w:rsidRDefault="00255944" w:rsidP="003D6F00">
      <w:pPr>
        <w:tabs>
          <w:tab w:val="left" w:pos="360"/>
          <w:tab w:val="left" w:pos="720"/>
          <w:tab w:val="left" w:pos="1440"/>
          <w:tab w:val="left" w:pos="2160"/>
          <w:tab w:val="left" w:pos="2880"/>
          <w:tab w:val="left" w:pos="3600"/>
          <w:tab w:val="left" w:pos="4320"/>
          <w:tab w:val="left" w:pos="5040"/>
        </w:tabs>
      </w:pPr>
      <w:r>
        <w:tab/>
      </w:r>
      <w:r w:rsidR="003D6F00">
        <w:t>The OLS</w:t>
      </w:r>
      <w:r w:rsidR="00212454">
        <w:t xml:space="preserve"> estimates that increasing the</w:t>
      </w:r>
      <w:r w:rsidR="003D6F00">
        <w:t xml:space="preserve"> amount</w:t>
      </w:r>
      <w:r w:rsidR="00212454">
        <w:t xml:space="preserve"> of rent constituting property taxes</w:t>
      </w:r>
      <w:r w:rsidR="00087CD0">
        <w:t>, which would allow income taxpayers to deduct a higher amount of rent from their gross income,</w:t>
      </w:r>
      <w:r w:rsidR="003D6F00">
        <w:t xml:space="preserve"> could reduce </w:t>
      </w:r>
      <w:r w:rsidR="0025648F">
        <w:t xml:space="preserve">State </w:t>
      </w:r>
      <w:r w:rsidR="003D6F00">
        <w:t>revenues by roughly $8</w:t>
      </w:r>
      <w:r w:rsidR="00087CD0">
        <w:t>2.6</w:t>
      </w:r>
      <w:r w:rsidR="003D6F00">
        <w:t xml:space="preserve"> million to $1</w:t>
      </w:r>
      <w:r w:rsidR="00087CD0">
        <w:t>30.5</w:t>
      </w:r>
      <w:r w:rsidR="003D6F00">
        <w:t xml:space="preserve"> million annually.</w:t>
      </w:r>
      <w:r w:rsidR="003C5248" w:rsidRPr="003C5248">
        <w:t xml:space="preserve"> </w:t>
      </w:r>
      <w:r w:rsidR="003C5248">
        <w:t xml:space="preserve"> </w:t>
      </w:r>
      <w:r w:rsidR="003C5248" w:rsidRPr="003C5248">
        <w:t>The OLS notes that the COVID-19 pandemic has affected both occupancies and the price of rent.  The actual impact of the bill may initially vary from the OLS estimate, since the rental market in New Jersey is still recovering from the pandemic.</w:t>
      </w:r>
    </w:p>
    <w:p w:rsidR="003D6F00" w:rsidRDefault="008A16AD" w:rsidP="003D6F00">
      <w:pPr>
        <w:tabs>
          <w:tab w:val="left" w:pos="360"/>
          <w:tab w:val="left" w:pos="720"/>
          <w:tab w:val="left" w:pos="1440"/>
          <w:tab w:val="left" w:pos="2160"/>
          <w:tab w:val="left" w:pos="2880"/>
          <w:tab w:val="left" w:pos="3600"/>
          <w:tab w:val="left" w:pos="4320"/>
          <w:tab w:val="left" w:pos="5040"/>
        </w:tabs>
      </w:pPr>
      <w:r>
        <w:tab/>
      </w:r>
      <w:r w:rsidR="003D6F00">
        <w:t xml:space="preserve">The most recent </w:t>
      </w:r>
      <w:r>
        <w:t xml:space="preserve">State Statistics of Income </w:t>
      </w:r>
      <w:r w:rsidR="003D6F00">
        <w:t>report provides the total value of the property tax deduction claimed ($12.5</w:t>
      </w:r>
      <w:r w:rsidR="00B4526C">
        <w:t>3</w:t>
      </w:r>
      <w:r w:rsidR="003D6F00">
        <w:t xml:space="preserve"> billion in Tax Year 2016), for both homeowners and renters, but does</w:t>
      </w:r>
      <w:r w:rsidR="00B23E56">
        <w:t xml:space="preserve"> not</w:t>
      </w:r>
      <w:r w:rsidR="003D6F00">
        <w:t xml:space="preserve"> </w:t>
      </w:r>
      <w:r w:rsidR="00B4526C">
        <w:t>delineate between</w:t>
      </w:r>
      <w:r w:rsidR="003D6F00">
        <w:t xml:space="preserve"> property tax payments and rent constituting property taxes paid.  Thus, the OLS must extrapolate from other data sources to project the fiscal impact of the bill.</w:t>
      </w:r>
    </w:p>
    <w:p w:rsidR="00255944" w:rsidRDefault="003D6F00" w:rsidP="003D6F00">
      <w:pPr>
        <w:tabs>
          <w:tab w:val="left" w:pos="360"/>
          <w:tab w:val="left" w:pos="720"/>
          <w:tab w:val="left" w:pos="1440"/>
          <w:tab w:val="left" w:pos="2160"/>
          <w:tab w:val="left" w:pos="2880"/>
          <w:tab w:val="left" w:pos="3600"/>
          <w:tab w:val="left" w:pos="4320"/>
          <w:tab w:val="left" w:pos="5040"/>
        </w:tabs>
      </w:pPr>
      <w:r>
        <w:tab/>
        <w:t xml:space="preserve">According to the </w:t>
      </w:r>
      <w:r w:rsidR="00B87D76">
        <w:t>2019</w:t>
      </w:r>
      <w:r>
        <w:t xml:space="preserve"> American Community Survey – Selected Housi</w:t>
      </w:r>
      <w:r w:rsidR="00212454">
        <w:t>ng Characteristics (New Jersey)</w:t>
      </w:r>
      <w:r>
        <w:t>, approximately 1.2 million housing units in this State were renter-occupied</w:t>
      </w:r>
      <w:r w:rsidR="00506711">
        <w:t xml:space="preserve"> with </w:t>
      </w:r>
      <w:r w:rsidR="00B4526C">
        <w:t>a</w:t>
      </w:r>
      <w:r w:rsidR="00506711">
        <w:t xml:space="preserve"> median gross rent of $1,376</w:t>
      </w:r>
      <w:r>
        <w:t xml:space="preserve">.  Assuming </w:t>
      </w:r>
      <w:r w:rsidR="00212454">
        <w:t xml:space="preserve">the </w:t>
      </w:r>
      <w:r>
        <w:t>average rent is around $1,400, the total amount of rent paid by all 1.2 million housing units across a 12-month span would be $</w:t>
      </w:r>
      <w:r w:rsidR="00B4526C">
        <w:t>19.68</w:t>
      </w:r>
      <w:r>
        <w:t xml:space="preserve"> billion.  Under the current formula for calculating rent const</w:t>
      </w:r>
      <w:r w:rsidR="00151EFC">
        <w:t>ituting property taxes, taxpayers could deduct roughly $3.</w:t>
      </w:r>
      <w:r w:rsidR="00B4526C">
        <w:t>54</w:t>
      </w:r>
      <w:r w:rsidR="00151EFC">
        <w:t xml:space="preserve"> billion of that $</w:t>
      </w:r>
      <w:r w:rsidR="00B4526C">
        <w:t>19.68</w:t>
      </w:r>
      <w:r w:rsidR="00151EFC">
        <w:t xml:space="preserve"> billion</w:t>
      </w:r>
      <w:r>
        <w:t xml:space="preserve">.  Based on marginal tax rates of 3.5 percent and 5.525 percent, the </w:t>
      </w:r>
      <w:r w:rsidR="0028098A">
        <w:t>approximate value of the existing</w:t>
      </w:r>
      <w:r>
        <w:t xml:space="preserve"> deduction would be $12</w:t>
      </w:r>
      <w:r w:rsidR="00B4526C">
        <w:t>4.0</w:t>
      </w:r>
      <w:r>
        <w:t xml:space="preserve"> million to $19</w:t>
      </w:r>
      <w:r w:rsidR="00B4526C">
        <w:t>5.7</w:t>
      </w:r>
      <w:r>
        <w:t xml:space="preserve"> million.  If that </w:t>
      </w:r>
      <w:r w:rsidR="0028098A">
        <w:t>deduction</w:t>
      </w:r>
      <w:r>
        <w:t xml:space="preserve"> increased to 30 percent</w:t>
      </w:r>
      <w:r w:rsidR="0028098A">
        <w:t xml:space="preserve"> of rent paid</w:t>
      </w:r>
      <w:r>
        <w:t>, the deduction would be valued at $2</w:t>
      </w:r>
      <w:r w:rsidR="00B4526C">
        <w:t>06.6</w:t>
      </w:r>
      <w:r>
        <w:t xml:space="preserve"> million to $3</w:t>
      </w:r>
      <w:r w:rsidR="00B4526C">
        <w:t>26.1</w:t>
      </w:r>
      <w:r>
        <w:t xml:space="preserve"> million.  Th</w:t>
      </w:r>
      <w:r w:rsidR="00EF08AC">
        <w:t>e difference in the deduction between current law and that proposed in the bill</w:t>
      </w:r>
      <w:r>
        <w:t xml:space="preserve"> yield</w:t>
      </w:r>
      <w:r w:rsidR="00212454">
        <w:t>s</w:t>
      </w:r>
      <w:r>
        <w:t xml:space="preserve"> an </w:t>
      </w:r>
      <w:r w:rsidR="00212454">
        <w:t xml:space="preserve">estimated </w:t>
      </w:r>
      <w:r>
        <w:t>annual State revenues loss to the Property Tax Relief Fund of $8</w:t>
      </w:r>
      <w:r w:rsidR="00B4526C">
        <w:t>2.6</w:t>
      </w:r>
      <w:r>
        <w:t xml:space="preserve"> million to $1</w:t>
      </w:r>
      <w:r w:rsidR="00B4526C">
        <w:t>30.5</w:t>
      </w:r>
      <w:r>
        <w:t xml:space="preserve"> million annually.</w:t>
      </w:r>
    </w:p>
    <w:p w:rsidR="00EF17BC" w:rsidRDefault="00EF17BC" w:rsidP="00EF17BC"/>
    <w:p w:rsidR="005E7DA8" w:rsidRDefault="005E7DA8"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7752B" w:rsidP="00E7752B">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7752B" w:rsidP="00EF17BC">
            <w:pPr>
              <w:pStyle w:val="10pointItalics"/>
            </w:pPr>
            <w:bookmarkStart w:id="3" w:name="UserFullName"/>
            <w:bookmarkEnd w:id="3"/>
            <w:r>
              <w:t>Jordan M. DiGiovanni</w:t>
            </w:r>
          </w:p>
          <w:p w:rsidR="00EF17BC" w:rsidRDefault="00E7752B"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E7DA8" w:rsidRDefault="005E7DA8" w:rsidP="00EF17BC">
      <w:pPr>
        <w:spacing w:line="287" w:lineRule="atLeast"/>
      </w:pPr>
    </w:p>
    <w:p w:rsidR="00EF17BC" w:rsidRDefault="00A5319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1B7D31" w:rsidRDefault="001B7D3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5319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5B6" w:rsidRDefault="000F25B6">
      <w:r>
        <w:separator/>
      </w:r>
    </w:p>
  </w:endnote>
  <w:endnote w:type="continuationSeparator" w:id="0">
    <w:p w:rsidR="000F25B6" w:rsidRDefault="000F2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936B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63283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5B6" w:rsidRDefault="000F25B6">
      <w:r>
        <w:separator/>
      </w:r>
    </w:p>
  </w:footnote>
  <w:footnote w:type="continuationSeparator" w:id="0">
    <w:p w:rsidR="000F25B6" w:rsidRDefault="000F2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19B" w:rsidRDefault="00A5319B" w:rsidP="00A5319B">
    <w:pPr>
      <w:pStyle w:val="Header"/>
      <w:jc w:val="center"/>
    </w:pPr>
    <w:r>
      <w:t>F</w:t>
    </w:r>
    <w:r w:rsidR="005E7DA8">
      <w:t>E to S</w:t>
    </w:r>
    <w:r>
      <w:t xml:space="preserve">3603 </w:t>
    </w:r>
  </w:p>
  <w:p w:rsidR="00A5319B" w:rsidRDefault="00A5319B" w:rsidP="00A5319B">
    <w:pPr>
      <w:pStyle w:val="Header"/>
      <w:jc w:val="center"/>
    </w:pPr>
    <w:r>
      <w:fldChar w:fldCharType="begin"/>
    </w:r>
    <w:r>
      <w:instrText xml:space="preserve"> PAGE  \* MERGEFORMAT </w:instrText>
    </w:r>
    <w:r>
      <w:fldChar w:fldCharType="separate"/>
    </w:r>
    <w:r w:rsidR="000936B4">
      <w:rPr>
        <w:noProof/>
      </w:rPr>
      <w:t>2</w:t>
    </w:r>
    <w:r>
      <w:fldChar w:fldCharType="end"/>
    </w:r>
  </w:p>
  <w:p w:rsidR="00A5319B" w:rsidRDefault="00A5319B" w:rsidP="00A531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19B"/>
    <w:rsid w:val="00011EDD"/>
    <w:rsid w:val="00013973"/>
    <w:rsid w:val="000333DF"/>
    <w:rsid w:val="00036860"/>
    <w:rsid w:val="00042B0B"/>
    <w:rsid w:val="000629F9"/>
    <w:rsid w:val="000701B0"/>
    <w:rsid w:val="00070F62"/>
    <w:rsid w:val="000820F8"/>
    <w:rsid w:val="0008691D"/>
    <w:rsid w:val="00087CD0"/>
    <w:rsid w:val="000936B4"/>
    <w:rsid w:val="00095290"/>
    <w:rsid w:val="000A16EC"/>
    <w:rsid w:val="000A2A76"/>
    <w:rsid w:val="000B1CCB"/>
    <w:rsid w:val="000C074D"/>
    <w:rsid w:val="000C50EA"/>
    <w:rsid w:val="000E08DD"/>
    <w:rsid w:val="000E17DB"/>
    <w:rsid w:val="000F0A12"/>
    <w:rsid w:val="000F231D"/>
    <w:rsid w:val="000F25B6"/>
    <w:rsid w:val="000F278B"/>
    <w:rsid w:val="000F2B57"/>
    <w:rsid w:val="00104163"/>
    <w:rsid w:val="001106B5"/>
    <w:rsid w:val="00114591"/>
    <w:rsid w:val="00115411"/>
    <w:rsid w:val="001223E7"/>
    <w:rsid w:val="00125D26"/>
    <w:rsid w:val="00142AE8"/>
    <w:rsid w:val="00145CE4"/>
    <w:rsid w:val="00151EFC"/>
    <w:rsid w:val="00157AED"/>
    <w:rsid w:val="00172CF5"/>
    <w:rsid w:val="001907A1"/>
    <w:rsid w:val="00193C26"/>
    <w:rsid w:val="00194789"/>
    <w:rsid w:val="00197240"/>
    <w:rsid w:val="001B1D4B"/>
    <w:rsid w:val="001B2BA9"/>
    <w:rsid w:val="001B7D31"/>
    <w:rsid w:val="001D0C90"/>
    <w:rsid w:val="001D3FD4"/>
    <w:rsid w:val="001F4F8B"/>
    <w:rsid w:val="00201322"/>
    <w:rsid w:val="00203C53"/>
    <w:rsid w:val="00210E60"/>
    <w:rsid w:val="002116FF"/>
    <w:rsid w:val="00212454"/>
    <w:rsid w:val="00212908"/>
    <w:rsid w:val="00213CFF"/>
    <w:rsid w:val="00220166"/>
    <w:rsid w:val="00231207"/>
    <w:rsid w:val="00234802"/>
    <w:rsid w:val="00241AAD"/>
    <w:rsid w:val="002427E6"/>
    <w:rsid w:val="002451F9"/>
    <w:rsid w:val="002518C8"/>
    <w:rsid w:val="00255944"/>
    <w:rsid w:val="0025648F"/>
    <w:rsid w:val="00261FC7"/>
    <w:rsid w:val="00275600"/>
    <w:rsid w:val="0028098A"/>
    <w:rsid w:val="00290E57"/>
    <w:rsid w:val="0029229D"/>
    <w:rsid w:val="002977FC"/>
    <w:rsid w:val="002A15C4"/>
    <w:rsid w:val="002A2860"/>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248"/>
    <w:rsid w:val="003C5892"/>
    <w:rsid w:val="003C6FD3"/>
    <w:rsid w:val="003D4453"/>
    <w:rsid w:val="003D459D"/>
    <w:rsid w:val="003D6F00"/>
    <w:rsid w:val="00407C9E"/>
    <w:rsid w:val="0041022E"/>
    <w:rsid w:val="004149CC"/>
    <w:rsid w:val="00426C11"/>
    <w:rsid w:val="0044181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6711"/>
    <w:rsid w:val="00510A23"/>
    <w:rsid w:val="0051514A"/>
    <w:rsid w:val="00515AC5"/>
    <w:rsid w:val="00520DC2"/>
    <w:rsid w:val="00536F40"/>
    <w:rsid w:val="005470F3"/>
    <w:rsid w:val="00570997"/>
    <w:rsid w:val="00577AA8"/>
    <w:rsid w:val="005850CE"/>
    <w:rsid w:val="005A6D23"/>
    <w:rsid w:val="005B3BBB"/>
    <w:rsid w:val="005B3EC2"/>
    <w:rsid w:val="005C1947"/>
    <w:rsid w:val="005C1E9D"/>
    <w:rsid w:val="005E03E7"/>
    <w:rsid w:val="005E75AB"/>
    <w:rsid w:val="005E7DA8"/>
    <w:rsid w:val="00601F73"/>
    <w:rsid w:val="00625D15"/>
    <w:rsid w:val="0064575C"/>
    <w:rsid w:val="00651611"/>
    <w:rsid w:val="00653AE2"/>
    <w:rsid w:val="006671C7"/>
    <w:rsid w:val="006917CF"/>
    <w:rsid w:val="00692BD4"/>
    <w:rsid w:val="006B22F3"/>
    <w:rsid w:val="006B2FD5"/>
    <w:rsid w:val="006B5C2D"/>
    <w:rsid w:val="006B6C16"/>
    <w:rsid w:val="006D6F6C"/>
    <w:rsid w:val="006E2C65"/>
    <w:rsid w:val="006F239A"/>
    <w:rsid w:val="006F505D"/>
    <w:rsid w:val="006F7203"/>
    <w:rsid w:val="00722AEF"/>
    <w:rsid w:val="00737A6C"/>
    <w:rsid w:val="00743F01"/>
    <w:rsid w:val="00744AE4"/>
    <w:rsid w:val="0075640A"/>
    <w:rsid w:val="00763D60"/>
    <w:rsid w:val="007833B1"/>
    <w:rsid w:val="007920AC"/>
    <w:rsid w:val="007A0F7E"/>
    <w:rsid w:val="007A42C5"/>
    <w:rsid w:val="007A65A1"/>
    <w:rsid w:val="007B1FCF"/>
    <w:rsid w:val="007C4620"/>
    <w:rsid w:val="007E337B"/>
    <w:rsid w:val="007E3F70"/>
    <w:rsid w:val="007E5EB3"/>
    <w:rsid w:val="00804E41"/>
    <w:rsid w:val="00811BC0"/>
    <w:rsid w:val="008231E8"/>
    <w:rsid w:val="008266B7"/>
    <w:rsid w:val="00854B89"/>
    <w:rsid w:val="00855555"/>
    <w:rsid w:val="00881BED"/>
    <w:rsid w:val="00881EF3"/>
    <w:rsid w:val="00883E7C"/>
    <w:rsid w:val="00886261"/>
    <w:rsid w:val="00894971"/>
    <w:rsid w:val="008A16AD"/>
    <w:rsid w:val="008B5AA3"/>
    <w:rsid w:val="008C0341"/>
    <w:rsid w:val="008D5731"/>
    <w:rsid w:val="008E1349"/>
    <w:rsid w:val="009038A2"/>
    <w:rsid w:val="00937A78"/>
    <w:rsid w:val="00947B1E"/>
    <w:rsid w:val="00953C08"/>
    <w:rsid w:val="00973C29"/>
    <w:rsid w:val="00983B70"/>
    <w:rsid w:val="009B14F4"/>
    <w:rsid w:val="009B1B0D"/>
    <w:rsid w:val="009B1C3D"/>
    <w:rsid w:val="009B32DD"/>
    <w:rsid w:val="009C005A"/>
    <w:rsid w:val="009C3A4C"/>
    <w:rsid w:val="009D4BC2"/>
    <w:rsid w:val="009D5E5F"/>
    <w:rsid w:val="009D62B4"/>
    <w:rsid w:val="009E1448"/>
    <w:rsid w:val="009E3E41"/>
    <w:rsid w:val="00A05A06"/>
    <w:rsid w:val="00A164F2"/>
    <w:rsid w:val="00A26FCF"/>
    <w:rsid w:val="00A31FA5"/>
    <w:rsid w:val="00A34F8C"/>
    <w:rsid w:val="00A359DA"/>
    <w:rsid w:val="00A37886"/>
    <w:rsid w:val="00A5319B"/>
    <w:rsid w:val="00A63176"/>
    <w:rsid w:val="00A70D0C"/>
    <w:rsid w:val="00A9794C"/>
    <w:rsid w:val="00AB0440"/>
    <w:rsid w:val="00AC3FC5"/>
    <w:rsid w:val="00AD340B"/>
    <w:rsid w:val="00AE3966"/>
    <w:rsid w:val="00AF11C6"/>
    <w:rsid w:val="00B002D1"/>
    <w:rsid w:val="00B057F1"/>
    <w:rsid w:val="00B143A9"/>
    <w:rsid w:val="00B23E56"/>
    <w:rsid w:val="00B4526C"/>
    <w:rsid w:val="00B4569E"/>
    <w:rsid w:val="00B45879"/>
    <w:rsid w:val="00B551EB"/>
    <w:rsid w:val="00B55F3D"/>
    <w:rsid w:val="00B84AC8"/>
    <w:rsid w:val="00B87D76"/>
    <w:rsid w:val="00B90F8C"/>
    <w:rsid w:val="00B91C0B"/>
    <w:rsid w:val="00B97E24"/>
    <w:rsid w:val="00BA0BE6"/>
    <w:rsid w:val="00BA2122"/>
    <w:rsid w:val="00BA2F3A"/>
    <w:rsid w:val="00BF47F9"/>
    <w:rsid w:val="00C07688"/>
    <w:rsid w:val="00C260AB"/>
    <w:rsid w:val="00C31B6C"/>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5458"/>
    <w:rsid w:val="00DF65C1"/>
    <w:rsid w:val="00E008A4"/>
    <w:rsid w:val="00E01C20"/>
    <w:rsid w:val="00E042C5"/>
    <w:rsid w:val="00E06D7C"/>
    <w:rsid w:val="00E21963"/>
    <w:rsid w:val="00E22D9A"/>
    <w:rsid w:val="00E262A3"/>
    <w:rsid w:val="00E32D2F"/>
    <w:rsid w:val="00E51E95"/>
    <w:rsid w:val="00E5461B"/>
    <w:rsid w:val="00E66C9F"/>
    <w:rsid w:val="00E708C9"/>
    <w:rsid w:val="00E74E35"/>
    <w:rsid w:val="00E75B93"/>
    <w:rsid w:val="00E7752B"/>
    <w:rsid w:val="00E86D2A"/>
    <w:rsid w:val="00E9123C"/>
    <w:rsid w:val="00E95800"/>
    <w:rsid w:val="00EB1C90"/>
    <w:rsid w:val="00EC1EF8"/>
    <w:rsid w:val="00EC2547"/>
    <w:rsid w:val="00EC4079"/>
    <w:rsid w:val="00EE7D05"/>
    <w:rsid w:val="00EF08AC"/>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73E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D257BB9-6557-48F3-8995-975D8904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E7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671</Words>
  <Characters>3557</Characters>
  <Application>Microsoft Office Word</Application>
  <DocSecurity>0</DocSecurity>
  <Lines>94</Lines>
  <Paragraphs>39</Paragraphs>
  <ScaleCrop>false</ScaleCrop>
  <HeadingPairs>
    <vt:vector size="2" baseType="variant">
      <vt:variant>
        <vt:lpstr>Title</vt:lpstr>
      </vt:variant>
      <vt:variant>
        <vt:i4>1</vt:i4>
      </vt:variant>
    </vt:vector>
  </HeadingPairs>
  <TitlesOfParts>
    <vt:vector size="1" baseType="lpstr">
      <vt:lpstr>S3603  FISCAL ESTIMATE</vt:lpstr>
    </vt:vector>
  </TitlesOfParts>
  <Manager>DiGiovanni, Jordan; R225</Manager>
  <Company>Office of Legislative Services</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S3603  FISCAL ESTIMATE</dc:title>
  <dc:creator>Senator SINGLETON</dc:creator>
  <cp:keywords>S3603|2|RF |282|265|265|!|0|</cp:keywords>
  <dc:description>sponsor 10/15</dc:description>
  <cp:lastModifiedBy>Siracusa, Nicole</cp:lastModifiedBy>
  <cp:revision>2</cp:revision>
  <dcterms:created xsi:type="dcterms:W3CDTF">2021-10-21T17:33:00Z</dcterms:created>
  <dcterms:modified xsi:type="dcterms:W3CDTF">2021-10-21T17:33:00Z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