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5C2" w:rsidRDefault="003605C2" w:rsidP="003605C2">
      <w:pPr>
        <w:pStyle w:val="bpuReprint"/>
      </w:pPr>
      <w:bookmarkStart w:id="0" w:name="bpuFrontPg"/>
      <w:bookmarkEnd w:id="0"/>
      <w:r>
        <w:t>[First Reprint]</w:t>
      </w:r>
    </w:p>
    <w:p w:rsidR="00385E40" w:rsidRDefault="00385E40" w:rsidP="00385E40">
      <w:pPr>
        <w:pStyle w:val="bpuBill"/>
      </w:pPr>
      <w:bookmarkStart w:id="1" w:name="_GoBack"/>
      <w:bookmarkEnd w:id="1"/>
      <w:r>
        <w:t xml:space="preserve">SENATE, No. 3780 </w:t>
      </w:r>
    </w:p>
    <w:p w:rsidR="00385E40" w:rsidRPr="009D38FF" w:rsidRDefault="00385E40" w:rsidP="00385E4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400571" r:id="rId8"/>
        </w:object>
      </w:r>
    </w:p>
    <w:p w:rsidR="00385E40" w:rsidRDefault="00385E40" w:rsidP="00385E40">
      <w:pPr>
        <w:pStyle w:val="bpuState"/>
      </w:pPr>
      <w:r>
        <w:t>STATE OF NEW JERSEY</w:t>
      </w:r>
    </w:p>
    <w:p w:rsidR="00385E40" w:rsidRDefault="00385E40" w:rsidP="00385E40">
      <w:pPr>
        <w:pStyle w:val="bpuLegislature"/>
      </w:pPr>
      <w:r>
        <w:t>219th LEGISLATURE</w:t>
      </w:r>
    </w:p>
    <w:p w:rsidR="00385E40" w:rsidRDefault="00385E40" w:rsidP="00385E40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400572" r:id="rId9"/>
        </w:object>
      </w:r>
      <w:r>
        <w:t xml:space="preserve">  </w:t>
      </w:r>
    </w:p>
    <w:p w:rsidR="00385E40" w:rsidRDefault="00385E40" w:rsidP="00385E40">
      <w:pPr>
        <w:pStyle w:val="bpuIntro"/>
      </w:pPr>
      <w:r>
        <w:t>INTRODUCED MAY 13, 2021</w:t>
      </w:r>
    </w:p>
    <w:p w:rsidR="00385E40" w:rsidRDefault="00385E40" w:rsidP="00385E40">
      <w:pPr>
        <w:pStyle w:val="bpuIntro"/>
      </w:pPr>
    </w:p>
    <w:p w:rsidR="00385E40" w:rsidRDefault="00385E40" w:rsidP="00385E40">
      <w:pPr>
        <w:pStyle w:val="bpuIntro"/>
        <w:sectPr w:rsidR="00385E40" w:rsidSect="00486AF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85E40" w:rsidRDefault="00385E40" w:rsidP="00385E40">
      <w:pPr>
        <w:pStyle w:val="bpuIntro"/>
      </w:pPr>
    </w:p>
    <w:p w:rsidR="00385E40" w:rsidRDefault="00385E40" w:rsidP="00385E40">
      <w:pPr>
        <w:pStyle w:val="bpuSponsor"/>
      </w:pPr>
      <w:r>
        <w:t>Sponsored by:</w:t>
      </w:r>
    </w:p>
    <w:p w:rsidR="00385E40" w:rsidRDefault="00385E40" w:rsidP="00385E40">
      <w:pPr>
        <w:pStyle w:val="bpuSponsor"/>
      </w:pPr>
      <w:r>
        <w:t>Senator  JOSEPH A. LAGANA</w:t>
      </w:r>
    </w:p>
    <w:p w:rsidR="00385E40" w:rsidRDefault="00385E40" w:rsidP="00385E40">
      <w:pPr>
        <w:pStyle w:val="bpuSponsor"/>
      </w:pPr>
      <w:r>
        <w:t>District 38 (Bergen and Passaic)</w:t>
      </w:r>
    </w:p>
    <w:p w:rsidR="00385E40" w:rsidRDefault="00E720F5" w:rsidP="00E720F5">
      <w:pPr>
        <w:pStyle w:val="bpuSponsor"/>
      </w:pPr>
      <w:r>
        <w:t>Senator  PAUL A. SARLO</w:t>
      </w:r>
    </w:p>
    <w:p w:rsidR="00E720F5" w:rsidRDefault="00E720F5" w:rsidP="00E720F5">
      <w:pPr>
        <w:pStyle w:val="bpuSponsor"/>
      </w:pPr>
      <w:r>
        <w:t>District 36 (Bergen and Passaic)</w:t>
      </w:r>
    </w:p>
    <w:p w:rsidR="00E720F5" w:rsidRDefault="00486AF8" w:rsidP="00486AF8">
      <w:pPr>
        <w:pStyle w:val="bpuSponsor"/>
      </w:pPr>
      <w:r>
        <w:t>Assemblyman  VINCENT MAZZEO</w:t>
      </w:r>
    </w:p>
    <w:p w:rsidR="00486AF8" w:rsidRDefault="00486AF8" w:rsidP="00486AF8">
      <w:pPr>
        <w:pStyle w:val="bpuSponsor"/>
      </w:pPr>
      <w:r>
        <w:t>District 2 (Atlantic)</w:t>
      </w:r>
    </w:p>
    <w:p w:rsidR="00486AF8" w:rsidRPr="00486AF8" w:rsidRDefault="00486AF8" w:rsidP="00486AF8">
      <w:pPr>
        <w:pStyle w:val="bpuSponsor"/>
      </w:pPr>
    </w:p>
    <w:p w:rsidR="006612C9" w:rsidRDefault="00486AF8" w:rsidP="00486AF8">
      <w:pPr>
        <w:pStyle w:val="bpuSponsor"/>
      </w:pPr>
      <w:r>
        <w:t>Co-Sponsored by:</w:t>
      </w:r>
    </w:p>
    <w:p w:rsidR="00486AF8" w:rsidRPr="00486AF8" w:rsidRDefault="00486AF8" w:rsidP="00486AF8">
      <w:pPr>
        <w:pStyle w:val="bpuSponsor"/>
      </w:pPr>
      <w:r w:rsidRPr="00486AF8">
        <w:t xml:space="preserve">Senators Gopal, Sacco, Assemblyman Caputo, Assemblywoman Murphy and Assemblyman </w:t>
      </w:r>
      <w:proofErr w:type="spellStart"/>
      <w:r w:rsidRPr="00486AF8">
        <w:t>Giblin</w:t>
      </w:r>
      <w:proofErr w:type="spellEnd"/>
    </w:p>
    <w:p w:rsidR="006612C9" w:rsidRPr="006612C9" w:rsidRDefault="006612C9" w:rsidP="006612C9"/>
    <w:p w:rsidR="006B5F54" w:rsidRPr="006B5F54" w:rsidRDefault="006B5F54" w:rsidP="006B5F54"/>
    <w:p w:rsidR="00385E40" w:rsidRDefault="00385E40" w:rsidP="00385E40">
      <w:pPr>
        <w:pStyle w:val="bpuSponsor"/>
      </w:pPr>
    </w:p>
    <w:p w:rsidR="00385E40" w:rsidRDefault="00385E40" w:rsidP="00385E40">
      <w:pPr>
        <w:pStyle w:val="bpuSponsor"/>
      </w:pPr>
    </w:p>
    <w:p w:rsidR="00385E40" w:rsidRDefault="00385E40" w:rsidP="00385E40">
      <w:pPr>
        <w:pStyle w:val="bpuSponsor"/>
      </w:pPr>
      <w:r>
        <w:t>SYNOPSIS</w:t>
      </w:r>
    </w:p>
    <w:p w:rsidR="00385E40" w:rsidRDefault="00385E40" w:rsidP="00385E40">
      <w:pPr>
        <w:pStyle w:val="bpuNormText"/>
      </w:pPr>
      <w:r>
        <w:tab/>
        <w:t xml:space="preserve">Permits prosecutors to enroll in Prosecutors Part of PERS. </w:t>
      </w:r>
    </w:p>
    <w:p w:rsidR="00385E40" w:rsidRDefault="00385E40" w:rsidP="00385E40">
      <w:pPr>
        <w:pStyle w:val="bpuNormText"/>
      </w:pPr>
    </w:p>
    <w:p w:rsidR="00385E40" w:rsidRDefault="00385E40" w:rsidP="00385E40">
      <w:pPr>
        <w:pStyle w:val="bpuSponsor"/>
      </w:pPr>
      <w:r>
        <w:t xml:space="preserve">CURRENT VERSION OF TEXT </w:t>
      </w:r>
    </w:p>
    <w:p w:rsidR="00385E40" w:rsidRDefault="003605C2" w:rsidP="00385E40">
      <w:pPr>
        <w:pStyle w:val="bpuNormText"/>
      </w:pPr>
      <w:r>
        <w:tab/>
        <w:t>As reported by the Senate Budget and Appropriations Committee on June 17, 2021, with amendments.</w:t>
      </w:r>
    </w:p>
    <w:p w:rsidR="00385E40" w:rsidRDefault="00385E40" w:rsidP="00385E4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85E40" w:rsidRDefault="00385E4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85E40" w:rsidSect="00385E4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F1855" w:rsidRPr="009D7CCF" w:rsidRDefault="00AC36F9" w:rsidP="00091EA3">
      <w:pPr>
        <w:ind w:left="288" w:hanging="288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F1855">
        <w:t xml:space="preserve">concerning </w:t>
      </w:r>
      <w:r w:rsidR="00D0525F">
        <w:t xml:space="preserve">enrollment in </w:t>
      </w:r>
      <w:r w:rsidR="000F1855">
        <w:t xml:space="preserve">the Prosecutors Part </w:t>
      </w:r>
      <w:r w:rsidR="00D0525F">
        <w:t>of</w:t>
      </w:r>
      <w:r w:rsidR="000F1855">
        <w:t xml:space="preserve"> the Public Employees’ Retirement System and amending P.L.2001, c.366.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C36F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C36F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605C2" w:rsidRDefault="003605C2" w:rsidP="003605C2">
      <w:r>
        <w:tab/>
      </w:r>
      <w:r w:rsidR="001D6C34">
        <w:t>1.</w:t>
      </w:r>
      <w:r w:rsidR="001D6C34">
        <w:tab/>
      </w:r>
      <w:r w:rsidRPr="00F200C1">
        <w:t>Section 2 of P.L.2001, c.366 (C.43:15A-156) is amended to read as follows:</w:t>
      </w:r>
    </w:p>
    <w:p w:rsidR="003605C2" w:rsidRPr="00F200C1" w:rsidRDefault="003605C2" w:rsidP="003605C2">
      <w:pPr>
        <w:rPr>
          <w:u w:val="single"/>
        </w:rPr>
      </w:pPr>
      <w:r>
        <w:tab/>
      </w:r>
      <w:r w:rsidR="001D6C34">
        <w:t>2.</w:t>
      </w:r>
      <w:r w:rsidR="001D6C34">
        <w:tab/>
      </w:r>
      <w:r>
        <w:t xml:space="preserve">a. </w:t>
      </w:r>
      <w:r w:rsidRPr="00F200C1">
        <w:t xml:space="preserve">Notwithstanding the provisions of any other law, prosecutors shall be members of the Prosecutors Part, established pursuant to P.L.2001, c.366 (C.43:15A-155 et seq.), of the Public Employees' Retirement System, established pursuant to P.L.1954, c.84 (C.43:15A-1 et seq.), </w:t>
      </w:r>
      <w:r w:rsidRPr="00F200C1">
        <w:rPr>
          <w:rFonts w:ascii="Albertus Extra Bold" w:hAnsi="Albertus Extra Bold"/>
          <w:b/>
          <w:bCs/>
        </w:rPr>
        <w:t>[</w:t>
      </w:r>
      <w:r w:rsidRPr="00F200C1">
        <w:t>if enrolled in the part prior to the effective date of P.L.2010, c.1,</w:t>
      </w:r>
      <w:r w:rsidRPr="00F200C1">
        <w:rPr>
          <w:rFonts w:ascii="Albertus Extra Bold" w:hAnsi="Albertus Extra Bold"/>
          <w:b/>
          <w:bCs/>
        </w:rPr>
        <w:t>]</w:t>
      </w:r>
      <w:r w:rsidRPr="00F200C1">
        <w:t xml:space="preserve"> and shall be subject to the same membership and benefit provisions as State employees, except </w:t>
      </w:r>
      <w:r>
        <w:t xml:space="preserve">as provided by P.L.2001, c.366. </w:t>
      </w:r>
      <w:r w:rsidRPr="00F200C1">
        <w:t xml:space="preserve"> Membership in the retirement system shall be a condition of employment for service as a prosecutor </w:t>
      </w:r>
      <w:r w:rsidRPr="00F200C1">
        <w:rPr>
          <w:rFonts w:ascii="Albertus Extra Bold" w:hAnsi="Albertus Extra Bold"/>
          <w:b/>
          <w:bCs/>
        </w:rPr>
        <w:t>[</w:t>
      </w:r>
      <w:r w:rsidRPr="00F200C1">
        <w:t>for a prosecutor enrolled in the part prior to the effective date of P.L.2010, c.1</w:t>
      </w:r>
      <w:r w:rsidRPr="00F200C1">
        <w:rPr>
          <w:rFonts w:ascii="Albertus Extra Bold" w:hAnsi="Albertus Extra Bold"/>
          <w:b/>
          <w:bCs/>
        </w:rPr>
        <w:t>]</w:t>
      </w:r>
      <w:r>
        <w:t xml:space="preserve">. </w:t>
      </w:r>
      <w:r w:rsidRPr="00F200C1">
        <w:t xml:space="preserve"> Any service credit which has been established in the Public Employees' Retirement System </w:t>
      </w:r>
      <w:r>
        <w:rPr>
          <w:rFonts w:ascii="Albertus Extra Bold" w:hAnsi="Albertus Extra Bold"/>
          <w:b/>
          <w:vertAlign w:val="superscript"/>
        </w:rPr>
        <w:t>1</w:t>
      </w:r>
      <w:r w:rsidRPr="000A758B">
        <w:rPr>
          <w:rFonts w:ascii="Albertus Extra Bold" w:hAnsi="Albertus Extra Bold"/>
          <w:b/>
        </w:rPr>
        <w:t>[</w:t>
      </w:r>
      <w:r w:rsidRPr="00F200C1">
        <w:t>by a prosecutor</w:t>
      </w:r>
      <w:r w:rsidRPr="000A758B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F200C1">
        <w:t xml:space="preserve"> prior to the effective date of this act</w:t>
      </w:r>
      <w:r w:rsidRPr="00F200C1">
        <w:rPr>
          <w:u w:val="single"/>
        </w:rPr>
        <w:t>, P.L.    , c.     (pending before the Legislature as this bill),</w:t>
      </w:r>
      <w:r w:rsidRPr="00F200C1">
        <w:t xml:space="preserve"> shall be established in the Prosecutors Part without further assessment of cost to the prosecutor; provided, however, any service credit which has been established in the Public Employees' Retirement System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and the Judicial Retirement System not deferred pursuant to section 1 of P.L.2019, c.287 (C.43:6A-11.1)</w:t>
      </w:r>
      <w:r w:rsidRPr="00F200C1">
        <w:rPr>
          <w:rFonts w:ascii="Albertus Extra Bold" w:hAnsi="Albertus Extra Bold"/>
          <w:b/>
          <w:vertAlign w:val="superscript"/>
        </w:rPr>
        <w:t>1</w:t>
      </w:r>
      <w:r w:rsidRPr="00F200C1">
        <w:t xml:space="preserve"> by a member of the retirement system in any position prior to service as a county prosecutor, nominated and appointed pursuant to Article VII, Section II, paragraph 1 of the New Jersey Constitution, shall be established in the Prosecutors Part without further assessment of cost to the prosecutor.</w:t>
      </w:r>
      <w:r>
        <w:t xml:space="preserve"> 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Any county prosecutor or acting county prosecutor enrolled in the Defined Contribution Retirement Program as a county prosecutor or acting county prosecutor shall be eligible for service credit in the Prosecutors Part, except that the </w:t>
      </w:r>
      <w:r w:rsidRPr="008A1841">
        <w:rPr>
          <w:u w:val="single"/>
        </w:rPr>
        <w:t>county prosecutor or acting county prosecutor</w:t>
      </w:r>
      <w:r>
        <w:rPr>
          <w:u w:val="single"/>
        </w:rPr>
        <w:t xml:space="preserve"> shall first pay the amount equivalent to that amount contributed pursuant to section 3 of P.L.2007, c.92 (C.43:15C-3) during each fiscal year of membership in the Defined Contribution Retirement Program to be credited.</w:t>
      </w:r>
      <w:r w:rsidRPr="0018098F">
        <w:rPr>
          <w:rFonts w:ascii="Albertus Extra Bold" w:hAnsi="Albertus Extra Bold"/>
          <w:b/>
          <w:vertAlign w:val="superscript"/>
        </w:rPr>
        <w:t>1</w:t>
      </w:r>
    </w:p>
    <w:p w:rsidR="003605C2" w:rsidRDefault="003605C2" w:rsidP="003605C2">
      <w:r>
        <w:tab/>
      </w:r>
      <w:r w:rsidRPr="00F200C1">
        <w:rPr>
          <w:rFonts w:ascii="Albertus Extra Bold" w:hAnsi="Albertus Extra Bold"/>
          <w:b/>
          <w:bCs/>
        </w:rPr>
        <w:t>[</w:t>
      </w:r>
      <w:r w:rsidRPr="00F200C1">
        <w:t>A prosecutor who becomes a member of the retirement system on or after the effective date of P.L.2010, c.1 shall not be a member of the Prosecutors Part and the provisions of P.L.2001, c.366 (C.43:15A-155 et seq.) shall not apply to such prosecutor or the prosecutor's beneficiary.</w:t>
      </w:r>
      <w:r w:rsidRPr="00F200C1">
        <w:rPr>
          <w:rFonts w:ascii="Albertus Extra Bold" w:hAnsi="Albertus Extra Bold"/>
          <w:b/>
          <w:bCs/>
        </w:rPr>
        <w:t>]</w:t>
      </w:r>
    </w:p>
    <w:p w:rsidR="003605C2" w:rsidRPr="00F200C1" w:rsidRDefault="003605C2" w:rsidP="003605C2">
      <w:r>
        <w:tab/>
      </w:r>
      <w:r w:rsidR="001D6C34">
        <w:t>b.</w:t>
      </w:r>
      <w:r w:rsidR="001D6C34">
        <w:tab/>
      </w:r>
      <w:r w:rsidRPr="00F200C1">
        <w:t>All outstanding obligations, such as loans, purchases and other arrearage, shall be satisfied by a prosecutor as previously scheduled for payment to the Public Employees' Retirement System.</w:t>
      </w:r>
    </w:p>
    <w:p w:rsidR="003605C2" w:rsidRPr="00F200C1" w:rsidRDefault="003605C2" w:rsidP="003605C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</w:tabs>
        <w:spacing w:line="360" w:lineRule="auto"/>
      </w:pPr>
      <w:r>
        <w:t>(</w:t>
      </w:r>
      <w:proofErr w:type="spellStart"/>
      <w:r>
        <w:t>cf</w:t>
      </w:r>
      <w:proofErr w:type="spellEnd"/>
      <w:r>
        <w:t>: P.L.2010, c.1, s.36</w:t>
      </w:r>
      <w:r w:rsidRPr="00F200C1">
        <w:t>)</w:t>
      </w:r>
    </w:p>
    <w:p w:rsidR="000F1855" w:rsidRDefault="000F1855" w:rsidP="00C4534E"/>
    <w:p w:rsidR="00686AEB" w:rsidRPr="00AA7880" w:rsidRDefault="00686AEB" w:rsidP="00686AEB">
      <w:r>
        <w:tab/>
      </w:r>
      <w:r w:rsidR="00064DC4">
        <w:t>2</w:t>
      </w:r>
      <w:r w:rsidR="000F1855">
        <w:t>.</w:t>
      </w:r>
      <w:r w:rsidR="004E34A8">
        <w:tab/>
      </w:r>
      <w:r w:rsidR="00AC36F9">
        <w:t>This act shall take effect</w:t>
      </w:r>
      <w:r w:rsidR="000F1855">
        <w:t xml:space="preserve"> immediately.</w:t>
      </w:r>
    </w:p>
    <w:sectPr w:rsidR="00686AEB" w:rsidRPr="00AA7880" w:rsidSect="004E34A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296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0DF" w:rsidRDefault="005D50DF">
      <w:r>
        <w:separator/>
      </w:r>
    </w:p>
  </w:endnote>
  <w:endnote w:type="continuationSeparator" w:id="0">
    <w:p w:rsidR="005D50DF" w:rsidRDefault="005D5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0F5" w:rsidRDefault="00486AF8" w:rsidP="00486AF8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6F9" w:rsidRPr="00921C91" w:rsidRDefault="00AC36F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C36F9" w:rsidRPr="00921C91" w:rsidRDefault="00AC36F9">
    <w:pPr>
      <w:pStyle w:val="Footer"/>
      <w:rPr>
        <w:szCs w:val="18"/>
      </w:rPr>
    </w:pPr>
  </w:p>
  <w:p w:rsidR="001D6C34" w:rsidRDefault="00AC36F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</w:t>
    </w:r>
    <w:r w:rsidR="003605C2">
      <w:rPr>
        <w:szCs w:val="18"/>
      </w:rPr>
      <w:t>ter</w:t>
    </w:r>
  </w:p>
  <w:p w:rsidR="003605C2" w:rsidRDefault="003605C2">
    <w:pPr>
      <w:pStyle w:val="Footer"/>
      <w:rPr>
        <w:szCs w:val="18"/>
      </w:rPr>
    </w:pPr>
    <w:r>
      <w:rPr>
        <w:szCs w:val="18"/>
      </w:rPr>
      <w:tab/>
      <w:t>Matter enclosed in superscript numerals has been adopted as follows:</w:t>
    </w:r>
  </w:p>
  <w:p w:rsidR="003605C2" w:rsidRDefault="003605C2">
    <w:pPr>
      <w:pStyle w:val="Footer"/>
      <w:rPr>
        <w:rFonts w:ascii="AlbertusExtraBold" w:hAnsi="AlbertusExtraBold"/>
        <w:szCs w:val="18"/>
      </w:rPr>
    </w:pPr>
    <w:r>
      <w:rPr>
        <w:szCs w:val="18"/>
      </w:rPr>
      <w:tab/>
    </w:r>
    <w:r>
      <w:rPr>
        <w:rFonts w:ascii="AlbertusExtraBold" w:hAnsi="AlbertusExtraBold"/>
        <w:szCs w:val="18"/>
        <w:vertAlign w:val="superscript"/>
      </w:rPr>
      <w:t>1</w:t>
    </w:r>
    <w:r>
      <w:rPr>
        <w:rFonts w:ascii="AlbertusExtraBold" w:hAnsi="AlbertusExtraBold"/>
        <w:szCs w:val="18"/>
      </w:rPr>
      <w:t>Senate SBA committee amendments adopted June 17, 2021.</w:t>
    </w:r>
  </w:p>
  <w:p w:rsidR="003605C2" w:rsidRPr="003605C2" w:rsidRDefault="003605C2">
    <w:pPr>
      <w:pStyle w:val="Footer"/>
      <w:rPr>
        <w:rFonts w:ascii="AlbertusExtraBold" w:hAnsi="AlbertusExtraBold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0DF" w:rsidRDefault="005D50DF">
      <w:r>
        <w:separator/>
      </w:r>
    </w:p>
  </w:footnote>
  <w:footnote w:type="continuationSeparator" w:id="0">
    <w:p w:rsidR="005D50DF" w:rsidRDefault="005D5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50D2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720F5" w:rsidRDefault="00E720F5" w:rsidP="00E720F5">
    <w:pPr>
      <w:pStyle w:val="bpuHeadSpon"/>
    </w:pPr>
    <w:r w:rsidRPr="00385E40">
      <w:rPr>
        <w:rStyle w:val="bpuHeadSponChar"/>
      </w:rPr>
      <w:t>S3780</w:t>
    </w:r>
    <w:r>
      <w:t xml:space="preserve"> </w:t>
    </w:r>
    <w:r w:rsidR="003605C2">
      <w:t xml:space="preserve">[1R] </w:t>
    </w:r>
    <w:r>
      <w:t>LAGANA, SARLO</w:t>
    </w:r>
  </w:p>
  <w:p w:rsidR="00385E40" w:rsidRDefault="00385E40" w:rsidP="00385E4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E2DD0">
      <w:rPr>
        <w:noProof/>
      </w:rPr>
      <w:t>3</w:t>
    </w:r>
    <w:r>
      <w:fldChar w:fldCharType="end"/>
    </w:r>
  </w:p>
  <w:p w:rsidR="00385E40" w:rsidRDefault="00385E40" w:rsidP="00385E4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85E40" w:rsidRDefault="00385E40" w:rsidP="00385E40">
    <w:pPr>
      <w:pStyle w:val="bpuHeadSpon"/>
    </w:pPr>
    <w:r w:rsidRPr="00385E40">
      <w:rPr>
        <w:rStyle w:val="bpuHeadSponChar"/>
      </w:rPr>
      <w:t>S3780</w:t>
    </w:r>
    <w:r>
      <w:t xml:space="preserve"> </w:t>
    </w:r>
    <w:r w:rsidR="003605C2">
      <w:t xml:space="preserve">[1R] </w:t>
    </w:r>
    <w:r>
      <w:t>LAGANA</w:t>
    </w:r>
    <w:r w:rsidR="00E720F5">
      <w:t>, SARLO</w:t>
    </w:r>
  </w:p>
  <w:p w:rsidR="00385E40" w:rsidRDefault="00385E40" w:rsidP="00385E4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E2DD0">
      <w:rPr>
        <w:noProof/>
      </w:rPr>
      <w:t>2</w:t>
    </w:r>
    <w:r>
      <w:fldChar w:fldCharType="end"/>
    </w:r>
  </w:p>
  <w:p w:rsidR="00385E40" w:rsidRDefault="00385E40" w:rsidP="00385E4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0DF"/>
    <w:rsid w:val="000051BD"/>
    <w:rsid w:val="000160A5"/>
    <w:rsid w:val="00020C10"/>
    <w:rsid w:val="0002335B"/>
    <w:rsid w:val="0003549A"/>
    <w:rsid w:val="000367AE"/>
    <w:rsid w:val="00043B22"/>
    <w:rsid w:val="00054975"/>
    <w:rsid w:val="00057D20"/>
    <w:rsid w:val="0006197C"/>
    <w:rsid w:val="0006281F"/>
    <w:rsid w:val="00064DC4"/>
    <w:rsid w:val="0008141C"/>
    <w:rsid w:val="00091EA3"/>
    <w:rsid w:val="00092F6B"/>
    <w:rsid w:val="00094A55"/>
    <w:rsid w:val="000A44A7"/>
    <w:rsid w:val="000B1054"/>
    <w:rsid w:val="000B3411"/>
    <w:rsid w:val="000B6A05"/>
    <w:rsid w:val="000C054C"/>
    <w:rsid w:val="000C12C2"/>
    <w:rsid w:val="000C5038"/>
    <w:rsid w:val="000D11AF"/>
    <w:rsid w:val="000D6255"/>
    <w:rsid w:val="000D6262"/>
    <w:rsid w:val="000D7B4A"/>
    <w:rsid w:val="000E4006"/>
    <w:rsid w:val="000F0E21"/>
    <w:rsid w:val="000F1855"/>
    <w:rsid w:val="000F3DA2"/>
    <w:rsid w:val="000F5FDE"/>
    <w:rsid w:val="000F7466"/>
    <w:rsid w:val="0013000E"/>
    <w:rsid w:val="001320F8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6C34"/>
    <w:rsid w:val="001E15F1"/>
    <w:rsid w:val="001E16FA"/>
    <w:rsid w:val="001E6213"/>
    <w:rsid w:val="001F14C7"/>
    <w:rsid w:val="001F2E15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445C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05C2"/>
    <w:rsid w:val="0036180C"/>
    <w:rsid w:val="00363CF5"/>
    <w:rsid w:val="00364344"/>
    <w:rsid w:val="003702CA"/>
    <w:rsid w:val="00370617"/>
    <w:rsid w:val="003808FC"/>
    <w:rsid w:val="00382F1F"/>
    <w:rsid w:val="003840E5"/>
    <w:rsid w:val="00385002"/>
    <w:rsid w:val="00385E40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4FE0"/>
    <w:rsid w:val="00436F2D"/>
    <w:rsid w:val="00436F5D"/>
    <w:rsid w:val="00441B42"/>
    <w:rsid w:val="0045118A"/>
    <w:rsid w:val="00455D51"/>
    <w:rsid w:val="00456BF9"/>
    <w:rsid w:val="00461057"/>
    <w:rsid w:val="0046167D"/>
    <w:rsid w:val="004704A8"/>
    <w:rsid w:val="00471102"/>
    <w:rsid w:val="00471F18"/>
    <w:rsid w:val="00484144"/>
    <w:rsid w:val="00484C19"/>
    <w:rsid w:val="00485866"/>
    <w:rsid w:val="00486AF8"/>
    <w:rsid w:val="00492076"/>
    <w:rsid w:val="00493B1D"/>
    <w:rsid w:val="00497037"/>
    <w:rsid w:val="004A3009"/>
    <w:rsid w:val="004A6940"/>
    <w:rsid w:val="004A77A4"/>
    <w:rsid w:val="004C742C"/>
    <w:rsid w:val="004E1F3E"/>
    <w:rsid w:val="004E34A8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50DF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12C9"/>
    <w:rsid w:val="00665CBC"/>
    <w:rsid w:val="00667A5C"/>
    <w:rsid w:val="00667D82"/>
    <w:rsid w:val="00677316"/>
    <w:rsid w:val="00686AEB"/>
    <w:rsid w:val="0069391A"/>
    <w:rsid w:val="006B5F54"/>
    <w:rsid w:val="006B7897"/>
    <w:rsid w:val="006B7FA7"/>
    <w:rsid w:val="006C086A"/>
    <w:rsid w:val="006C21C1"/>
    <w:rsid w:val="006C7327"/>
    <w:rsid w:val="006D00E5"/>
    <w:rsid w:val="006D1739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2DD0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590D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B8E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7EB8"/>
    <w:rsid w:val="00A932A1"/>
    <w:rsid w:val="00A96E06"/>
    <w:rsid w:val="00AA6197"/>
    <w:rsid w:val="00AA6C70"/>
    <w:rsid w:val="00AB16FD"/>
    <w:rsid w:val="00AB4813"/>
    <w:rsid w:val="00AC36F9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1351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59DE"/>
    <w:rsid w:val="00BC7892"/>
    <w:rsid w:val="00BD0613"/>
    <w:rsid w:val="00BE24D6"/>
    <w:rsid w:val="00BE7EFA"/>
    <w:rsid w:val="00BF06AD"/>
    <w:rsid w:val="00BF2C67"/>
    <w:rsid w:val="00C04F4D"/>
    <w:rsid w:val="00C1125C"/>
    <w:rsid w:val="00C12E48"/>
    <w:rsid w:val="00C13D14"/>
    <w:rsid w:val="00C15F53"/>
    <w:rsid w:val="00C23F09"/>
    <w:rsid w:val="00C25356"/>
    <w:rsid w:val="00C328D0"/>
    <w:rsid w:val="00C4534E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47CE"/>
    <w:rsid w:val="00CD528D"/>
    <w:rsid w:val="00CE78BF"/>
    <w:rsid w:val="00CF65EB"/>
    <w:rsid w:val="00CF72AD"/>
    <w:rsid w:val="00D02441"/>
    <w:rsid w:val="00D039F4"/>
    <w:rsid w:val="00D0525F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2B74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20F5"/>
    <w:rsid w:val="00E73D74"/>
    <w:rsid w:val="00E76A79"/>
    <w:rsid w:val="00E80692"/>
    <w:rsid w:val="00E80C24"/>
    <w:rsid w:val="00E93836"/>
    <w:rsid w:val="00EA0A67"/>
    <w:rsid w:val="00EA7C16"/>
    <w:rsid w:val="00EB4A8A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3625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1ACF261-442E-4FF1-9B73-6AFD367F0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385E40"/>
  </w:style>
  <w:style w:type="paragraph" w:styleId="BalloonText">
    <w:name w:val="Balloon Text"/>
    <w:basedOn w:val="Normal"/>
    <w:link w:val="BalloonTextChar"/>
    <w:semiHidden/>
    <w:unhideWhenUsed/>
    <w:rsid w:val="006B5F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B5F5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BE40C-DA96-4B51-A8E2-93C4538A5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518</Words>
  <Characters>2854</Characters>
  <Application>Microsoft Office Word</Application>
  <DocSecurity>0</DocSecurity>
  <Lines>84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S3780</vt:lpstr>
    </vt:vector>
  </TitlesOfParts>
  <Manager>R224</Manager>
  <Company>NJ Office of Legislative Services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S3780 1R</dc:title>
  <dc:subject/>
  <dc:creator>Senator  LAGANA</dc:creator>
  <cp:keywords>S3780|3|SG |305|76|76|!||</cp:keywords>
  <dc:description>INTRODUCED MAY 13, 2021_x000d_
Amended 6/17/21</dc:description>
  <cp:lastModifiedBy>Todaro, Vivian</cp:lastModifiedBy>
  <cp:revision>2</cp:revision>
  <cp:lastPrinted>2021-06-28T19:49:00Z</cp:lastPrinted>
  <dcterms:created xsi:type="dcterms:W3CDTF">2021-06-28T19:50:00Z</dcterms:created>
  <dcterms:modified xsi:type="dcterms:W3CDTF">2021-06-28T19:50:00Z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