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6A1" w:rsidRDefault="00C926A1" w:rsidP="00C926A1">
      <w:pPr>
        <w:pStyle w:val="bpuBill"/>
      </w:pPr>
      <w:bookmarkStart w:id="0" w:name="bpuFrontPg"/>
      <w:bookmarkStart w:id="1" w:name="_GoBack"/>
      <w:bookmarkEnd w:id="0"/>
      <w:bookmarkEnd w:id="1"/>
      <w:r>
        <w:t xml:space="preserve">SENATE, No. 3969 </w:t>
      </w:r>
    </w:p>
    <w:p w:rsidR="00C926A1" w:rsidRPr="009D38FF" w:rsidRDefault="00C926A1" w:rsidP="00C926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427413" r:id="rId8"/>
        </w:object>
      </w:r>
    </w:p>
    <w:p w:rsidR="00C926A1" w:rsidRDefault="00C926A1" w:rsidP="00C926A1">
      <w:pPr>
        <w:pStyle w:val="bpuState"/>
      </w:pPr>
      <w:r>
        <w:t>STATE OF NEW JERSEY</w:t>
      </w:r>
    </w:p>
    <w:p w:rsidR="00C926A1" w:rsidRDefault="00C926A1" w:rsidP="00C926A1">
      <w:pPr>
        <w:pStyle w:val="bpuLegislature"/>
      </w:pPr>
      <w:r>
        <w:t>219th LEGISLATURE</w:t>
      </w:r>
    </w:p>
    <w:p w:rsidR="00C926A1" w:rsidRDefault="00C926A1" w:rsidP="00C926A1">
      <w:pPr>
        <w:pStyle w:val="bpuWpGraphic"/>
      </w:pPr>
      <w:r>
        <w:object w:dxaOrig="8985" w:dyaOrig="255">
          <v:shape id="_x0000_i1026" type="#_x0000_t75" style="width:6in;height:12.1pt" o:ole="">
            <v:imagedata r:id="rId7" o:title=""/>
          </v:shape>
          <o:OLEObject Type="Embed" ProgID="WPWin6.1" ShapeID="_x0000_i1026" DrawAspect="Content" ObjectID="_1685427414" r:id="rId9"/>
        </w:object>
      </w:r>
      <w:r>
        <w:t xml:space="preserve">  </w:t>
      </w:r>
    </w:p>
    <w:p w:rsidR="00C926A1" w:rsidRDefault="00C926A1" w:rsidP="00C926A1">
      <w:pPr>
        <w:pStyle w:val="bpuIntro"/>
      </w:pPr>
      <w:r>
        <w:t>INTRODUCED JUNE 16, 2021</w:t>
      </w:r>
    </w:p>
    <w:p w:rsidR="00C926A1" w:rsidRDefault="00C926A1" w:rsidP="00C926A1">
      <w:pPr>
        <w:pStyle w:val="bpuIntro"/>
      </w:pPr>
    </w:p>
    <w:p w:rsidR="00C926A1" w:rsidRDefault="00C926A1" w:rsidP="00C926A1">
      <w:pPr>
        <w:pStyle w:val="bpuIntro"/>
        <w:sectPr w:rsidR="00C926A1" w:rsidSect="00C926A1">
          <w:headerReference w:type="even" r:id="rId10"/>
          <w:headerReference w:type="default" r:id="rId11"/>
          <w:pgSz w:w="12240" w:h="20160" w:code="5"/>
          <w:pgMar w:top="2160" w:right="1440" w:bottom="1440" w:left="1440" w:header="72" w:footer="720" w:gutter="0"/>
          <w:pgNumType w:start="1"/>
          <w:cols w:space="720"/>
          <w:docGrid w:linePitch="360"/>
        </w:sectPr>
      </w:pPr>
    </w:p>
    <w:p w:rsidR="00C926A1" w:rsidRDefault="00C926A1" w:rsidP="00C926A1">
      <w:pPr>
        <w:pStyle w:val="bpuIntro"/>
      </w:pPr>
    </w:p>
    <w:p w:rsidR="00C926A1" w:rsidRDefault="00C926A1" w:rsidP="00C926A1">
      <w:pPr>
        <w:pStyle w:val="bpuSponsor"/>
      </w:pPr>
      <w:r>
        <w:t>Sponsored by:</w:t>
      </w:r>
    </w:p>
    <w:p w:rsidR="00C926A1" w:rsidRDefault="00C926A1" w:rsidP="00C926A1">
      <w:pPr>
        <w:pStyle w:val="bpuSponsor"/>
      </w:pPr>
      <w:proofErr w:type="gramStart"/>
      <w:r>
        <w:t>Senator  TROY</w:t>
      </w:r>
      <w:proofErr w:type="gramEnd"/>
      <w:r>
        <w:t xml:space="preserve"> SINGLETON</w:t>
      </w:r>
    </w:p>
    <w:p w:rsidR="00C926A1" w:rsidRDefault="00C926A1" w:rsidP="00C926A1">
      <w:pPr>
        <w:pStyle w:val="bpuSponsor"/>
      </w:pPr>
      <w:r>
        <w:t>District 7 (Burlington)</w:t>
      </w:r>
    </w:p>
    <w:p w:rsidR="00C926A1" w:rsidRDefault="00C926A1" w:rsidP="00C926A1">
      <w:pPr>
        <w:pStyle w:val="bpuSponsor"/>
      </w:pPr>
    </w:p>
    <w:p w:rsidR="00C926A1" w:rsidRDefault="00C926A1" w:rsidP="00C926A1">
      <w:pPr>
        <w:pStyle w:val="bpuSponsor"/>
      </w:pPr>
    </w:p>
    <w:p w:rsidR="00C926A1" w:rsidRDefault="00C926A1" w:rsidP="00C926A1">
      <w:pPr>
        <w:pStyle w:val="bpuSponsor"/>
      </w:pPr>
    </w:p>
    <w:p w:rsidR="00C926A1" w:rsidRDefault="00C926A1" w:rsidP="00C926A1">
      <w:pPr>
        <w:pStyle w:val="bpuSponsor"/>
      </w:pPr>
    </w:p>
    <w:p w:rsidR="00C926A1" w:rsidRDefault="00C926A1" w:rsidP="00C926A1">
      <w:pPr>
        <w:pStyle w:val="bpuSponsor"/>
      </w:pPr>
      <w:r>
        <w:t>SYNOPSIS</w:t>
      </w:r>
    </w:p>
    <w:p w:rsidR="00C926A1" w:rsidRDefault="00C926A1" w:rsidP="00C926A1">
      <w:pPr>
        <w:pStyle w:val="bpuNormText"/>
      </w:pPr>
      <w:r>
        <w:tab/>
        <w:t xml:space="preserve">Appropriates $20 million for HMFA to grant loans to developers of certain </w:t>
      </w:r>
      <w:proofErr w:type="gramStart"/>
      <w:r>
        <w:t>affordable</w:t>
      </w:r>
      <w:proofErr w:type="gramEnd"/>
      <w:r>
        <w:t xml:space="preserve"> housing projects. </w:t>
      </w:r>
    </w:p>
    <w:p w:rsidR="00C926A1" w:rsidRDefault="00C926A1" w:rsidP="00C926A1">
      <w:pPr>
        <w:pStyle w:val="bpuNormText"/>
      </w:pPr>
    </w:p>
    <w:p w:rsidR="00C926A1" w:rsidRDefault="00C926A1" w:rsidP="00C926A1">
      <w:pPr>
        <w:pStyle w:val="bpuSponsor"/>
      </w:pPr>
      <w:r>
        <w:t xml:space="preserve">CURRENT VERSION OF TEXT </w:t>
      </w:r>
    </w:p>
    <w:p w:rsidR="00C926A1" w:rsidRDefault="00C926A1" w:rsidP="00C926A1">
      <w:pPr>
        <w:pStyle w:val="bpuNormText"/>
      </w:pPr>
      <w:r>
        <w:tab/>
        <w:t>As introduced.</w:t>
      </w:r>
    </w:p>
    <w:p w:rsidR="00C926A1" w:rsidRDefault="00C926A1" w:rsidP="00C926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26A1" w:rsidRDefault="00C926A1" w:rsidP="008916EC">
      <w:pPr>
        <w:pStyle w:val="FronterPage"/>
        <w:tabs>
          <w:tab w:val="clear" w:pos="720"/>
          <w:tab w:val="clear" w:pos="1440"/>
          <w:tab w:val="clear" w:pos="2160"/>
          <w:tab w:val="clear" w:pos="2880"/>
          <w:tab w:val="clear" w:pos="3600"/>
          <w:tab w:val="clear" w:pos="4320"/>
          <w:tab w:val="clear" w:pos="5040"/>
        </w:tabs>
        <w:sectPr w:rsidR="00C926A1" w:rsidSect="00C926A1">
          <w:type w:val="continuous"/>
          <w:pgSz w:w="12240" w:h="20160" w:code="5"/>
          <w:pgMar w:top="1440" w:right="2275" w:bottom="1440" w:left="2275" w:header="72" w:footer="720" w:gutter="0"/>
          <w:pgNumType w:start="1"/>
          <w:cols w:space="720"/>
          <w:docGrid w:linePitch="360"/>
        </w:sectPr>
      </w:pPr>
    </w:p>
    <w:p w:rsidR="00686AEB" w:rsidRPr="00677316" w:rsidRDefault="00E55A5A"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E55A5A">
        <w:rPr>
          <w:rStyle w:val="BillHeading2"/>
        </w:rPr>
        <w:t>Be It Enacted</w:t>
      </w:r>
      <w:r>
        <w:rPr>
          <w:rStyle w:val="BillHeading2"/>
        </w:rPr>
        <w:t xml:space="preserve"> </w:t>
      </w:r>
      <w:r w:rsidR="00E55A5A">
        <w:rPr>
          <w:rStyle w:val="BillLanguage"/>
        </w:rPr>
        <w:t>by the Senate and the General Assembly of the State of New Jersey:</w:t>
      </w:r>
    </w:p>
    <w:p w:rsidR="00686AEB" w:rsidRPr="00D71D68" w:rsidRDefault="00686AEB" w:rsidP="00686AEB"/>
    <w:p w:rsidR="00576BCF" w:rsidRDefault="00237D09" w:rsidP="00576BCF">
      <w:r>
        <w:tab/>
        <w:t>1.</w:t>
      </w:r>
      <w:r>
        <w:tab/>
      </w:r>
      <w:r w:rsidR="00576BCF">
        <w:t>In addition to the amounts appropriated under P.L.2020, c.97, the annual appropriations act for the Fiscal Year ending June 30, 2021, there is appropriated out of the General Fund the following sum for the purpose specified:</w:t>
      </w:r>
    </w:p>
    <w:p w:rsidR="00576BCF" w:rsidRDefault="00576BCF" w:rsidP="00576BCF"/>
    <w:tbl>
      <w:tblPr>
        <w:tblW w:w="790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140"/>
        <w:gridCol w:w="1440"/>
        <w:gridCol w:w="1350"/>
      </w:tblGrid>
      <w:tr w:rsidR="00576BCF" w:rsidTr="000C0273">
        <w:trPr>
          <w:trHeight w:val="900"/>
        </w:trPr>
        <w:tc>
          <w:tcPr>
            <w:tcW w:w="7905" w:type="dxa"/>
            <w:gridSpan w:val="5"/>
            <w:vAlign w:val="center"/>
          </w:tcPr>
          <w:p w:rsidR="00576BCF" w:rsidRPr="0089297C" w:rsidRDefault="00576BCF" w:rsidP="000C0273">
            <w:pPr>
              <w:ind w:left="187" w:hanging="187"/>
              <w:jc w:val="center"/>
              <w:rPr>
                <w:b/>
                <w:sz w:val="26"/>
                <w:szCs w:val="26"/>
              </w:rPr>
            </w:pPr>
            <w:r>
              <w:rPr>
                <w:b/>
                <w:sz w:val="26"/>
                <w:szCs w:val="26"/>
              </w:rPr>
              <w:t>22</w:t>
            </w:r>
            <w:r w:rsidRPr="0089297C">
              <w:rPr>
                <w:b/>
                <w:sz w:val="26"/>
                <w:szCs w:val="26"/>
              </w:rPr>
              <w:t xml:space="preserve"> </w:t>
            </w:r>
            <w:r>
              <w:rPr>
                <w:b/>
                <w:sz w:val="26"/>
                <w:szCs w:val="26"/>
              </w:rPr>
              <w:t>DEPARTMENT OF COMMUNITY AFFAIRS</w:t>
            </w:r>
          </w:p>
          <w:p w:rsidR="00576BCF" w:rsidRPr="0089297C" w:rsidRDefault="00576BCF" w:rsidP="000C0273">
            <w:pPr>
              <w:ind w:left="187" w:hanging="187"/>
              <w:jc w:val="center"/>
              <w:rPr>
                <w:b/>
                <w:i/>
                <w:sz w:val="22"/>
                <w:szCs w:val="22"/>
              </w:rPr>
            </w:pPr>
            <w:r>
              <w:rPr>
                <w:b/>
                <w:i/>
                <w:sz w:val="22"/>
                <w:szCs w:val="22"/>
              </w:rPr>
              <w:t>40</w:t>
            </w:r>
            <w:r w:rsidRPr="0089297C">
              <w:rPr>
                <w:b/>
                <w:i/>
                <w:sz w:val="22"/>
                <w:szCs w:val="22"/>
              </w:rPr>
              <w:t xml:space="preserve"> </w:t>
            </w:r>
            <w:r w:rsidRPr="00B74BF3">
              <w:rPr>
                <w:b/>
                <w:i/>
                <w:sz w:val="22"/>
                <w:szCs w:val="22"/>
              </w:rPr>
              <w:t xml:space="preserve">Community Development </w:t>
            </w:r>
            <w:r>
              <w:rPr>
                <w:b/>
                <w:i/>
                <w:sz w:val="22"/>
                <w:szCs w:val="22"/>
              </w:rPr>
              <w:t>a</w:t>
            </w:r>
            <w:r w:rsidRPr="00B74BF3">
              <w:rPr>
                <w:b/>
                <w:i/>
                <w:sz w:val="22"/>
                <w:szCs w:val="22"/>
              </w:rPr>
              <w:t>nd Environmental Management</w:t>
            </w:r>
          </w:p>
          <w:p w:rsidR="00576BCF" w:rsidRDefault="00576BCF" w:rsidP="000C0273">
            <w:pPr>
              <w:ind w:left="187" w:hanging="187"/>
              <w:jc w:val="center"/>
              <w:rPr>
                <w:b/>
                <w:i/>
                <w:sz w:val="22"/>
                <w:szCs w:val="22"/>
              </w:rPr>
            </w:pPr>
            <w:r>
              <w:rPr>
                <w:b/>
                <w:i/>
                <w:sz w:val="22"/>
                <w:szCs w:val="22"/>
              </w:rPr>
              <w:t>41</w:t>
            </w:r>
            <w:r w:rsidRPr="0089297C">
              <w:rPr>
                <w:b/>
                <w:i/>
                <w:sz w:val="22"/>
                <w:szCs w:val="22"/>
              </w:rPr>
              <w:t xml:space="preserve"> </w:t>
            </w:r>
            <w:r w:rsidRPr="00B74BF3">
              <w:rPr>
                <w:b/>
                <w:i/>
                <w:sz w:val="22"/>
                <w:szCs w:val="22"/>
              </w:rPr>
              <w:t>Community Development Management</w:t>
            </w:r>
          </w:p>
          <w:p w:rsidR="00576BCF" w:rsidRPr="00647E32" w:rsidRDefault="00576BCF" w:rsidP="000C0273">
            <w:pPr>
              <w:jc w:val="center"/>
              <w:rPr>
                <w:b/>
                <w:u w:val="single"/>
              </w:rPr>
            </w:pPr>
            <w:r>
              <w:rPr>
                <w:b/>
                <w:sz w:val="22"/>
                <w:szCs w:val="22"/>
                <w:u w:val="single"/>
              </w:rPr>
              <w:t>GRANTS-IN-AID</w:t>
            </w:r>
          </w:p>
        </w:tc>
      </w:tr>
      <w:tr w:rsidR="00576BCF" w:rsidRPr="00CB15A4" w:rsidTr="000C0273">
        <w:trPr>
          <w:trHeight w:val="144"/>
        </w:trPr>
        <w:tc>
          <w:tcPr>
            <w:tcW w:w="956" w:type="dxa"/>
            <w:shd w:val="clear" w:color="auto" w:fill="auto"/>
            <w:tcMar>
              <w:left w:w="115" w:type="dxa"/>
            </w:tcMar>
          </w:tcPr>
          <w:p w:rsidR="00576BCF" w:rsidRPr="00CB15A4" w:rsidRDefault="00576BCF" w:rsidP="000C0273">
            <w:pPr>
              <w:rPr>
                <w:sz w:val="22"/>
                <w:szCs w:val="22"/>
              </w:rPr>
            </w:pPr>
            <w:r>
              <w:rPr>
                <w:sz w:val="22"/>
                <w:szCs w:val="22"/>
              </w:rPr>
              <w:t>02-8020</w:t>
            </w:r>
          </w:p>
        </w:tc>
        <w:tc>
          <w:tcPr>
            <w:tcW w:w="5599" w:type="dxa"/>
            <w:gridSpan w:val="3"/>
            <w:shd w:val="clear" w:color="auto" w:fill="auto"/>
          </w:tcPr>
          <w:p w:rsidR="00576BCF" w:rsidRPr="00CB15A4" w:rsidRDefault="00576BCF" w:rsidP="000C0273">
            <w:pPr>
              <w:pStyle w:val="ApropTab"/>
            </w:pPr>
            <w:r>
              <w:t xml:space="preserve">Housing Services   </w:t>
            </w:r>
            <w:r w:rsidRPr="00CB15A4">
              <w:t>...........</w:t>
            </w:r>
            <w:r>
              <w:t>..</w:t>
            </w:r>
          </w:p>
        </w:tc>
        <w:tc>
          <w:tcPr>
            <w:tcW w:w="1350" w:type="dxa"/>
            <w:shd w:val="clear" w:color="auto" w:fill="auto"/>
            <w:tcMar>
              <w:left w:w="0" w:type="dxa"/>
            </w:tcMar>
            <w:vAlign w:val="bottom"/>
          </w:tcPr>
          <w:p w:rsidR="00576BCF" w:rsidRPr="00CB15A4" w:rsidRDefault="00576BCF" w:rsidP="000C0273">
            <w:pPr>
              <w:jc w:val="right"/>
              <w:rPr>
                <w:sz w:val="22"/>
                <w:szCs w:val="22"/>
              </w:rPr>
            </w:pPr>
            <w:r w:rsidRPr="00CB15A4">
              <w:rPr>
                <w:sz w:val="22"/>
                <w:szCs w:val="22"/>
              </w:rPr>
              <w:t>$</w:t>
            </w:r>
            <w:r>
              <w:rPr>
                <w:sz w:val="22"/>
                <w:szCs w:val="22"/>
              </w:rPr>
              <w:t>20,000,000</w:t>
            </w:r>
          </w:p>
        </w:tc>
      </w:tr>
      <w:tr w:rsidR="00576BCF" w:rsidRPr="00CB15A4" w:rsidTr="000C0273">
        <w:trPr>
          <w:trHeight w:val="635"/>
        </w:trPr>
        <w:tc>
          <w:tcPr>
            <w:tcW w:w="956" w:type="dxa"/>
            <w:shd w:val="clear" w:color="auto" w:fill="auto"/>
            <w:tcMar>
              <w:left w:w="576" w:type="dxa"/>
              <w:right w:w="216" w:type="dxa"/>
            </w:tcMar>
          </w:tcPr>
          <w:p w:rsidR="00576BCF" w:rsidRPr="00CB15A4" w:rsidRDefault="00576BCF" w:rsidP="000C0273">
            <w:pPr>
              <w:rPr>
                <w:sz w:val="22"/>
                <w:szCs w:val="22"/>
              </w:rPr>
            </w:pPr>
          </w:p>
        </w:tc>
        <w:tc>
          <w:tcPr>
            <w:tcW w:w="5599" w:type="dxa"/>
            <w:gridSpan w:val="3"/>
            <w:shd w:val="clear" w:color="auto" w:fill="auto"/>
          </w:tcPr>
          <w:p w:rsidR="00576BCF" w:rsidRPr="00CB15A4" w:rsidRDefault="00576BCF" w:rsidP="000C0273">
            <w:pPr>
              <w:pStyle w:val="ApropTab"/>
            </w:pPr>
            <w:r w:rsidRPr="00CB15A4">
              <w:t xml:space="preserve">Total </w:t>
            </w:r>
            <w:r>
              <w:t xml:space="preserve"> Grants-in-Aid</w:t>
            </w:r>
            <w:r w:rsidRPr="00CB15A4">
              <w:t xml:space="preserve"> Appropriation,</w:t>
            </w:r>
            <w:r>
              <w:t xml:space="preserve">                             Community Development Management</w:t>
            </w:r>
          </w:p>
        </w:tc>
        <w:tc>
          <w:tcPr>
            <w:tcW w:w="1350" w:type="dxa"/>
            <w:tcBorders>
              <w:top w:val="single" w:sz="4" w:space="0" w:color="auto"/>
              <w:bottom w:val="single" w:sz="4" w:space="0" w:color="auto"/>
            </w:tcBorders>
            <w:shd w:val="clear" w:color="auto" w:fill="auto"/>
            <w:tcMar>
              <w:left w:w="0" w:type="dxa"/>
            </w:tcMar>
            <w:vAlign w:val="bottom"/>
          </w:tcPr>
          <w:p w:rsidR="00576BCF" w:rsidRPr="00CB15A4" w:rsidRDefault="00576BCF" w:rsidP="000C0273">
            <w:pPr>
              <w:jc w:val="right"/>
              <w:rPr>
                <w:sz w:val="22"/>
                <w:szCs w:val="22"/>
              </w:rPr>
            </w:pPr>
            <w:r w:rsidRPr="00CB15A4">
              <w:rPr>
                <w:sz w:val="22"/>
                <w:szCs w:val="22"/>
              </w:rPr>
              <w:t>$</w:t>
            </w:r>
            <w:r>
              <w:rPr>
                <w:sz w:val="22"/>
                <w:szCs w:val="22"/>
              </w:rPr>
              <w:t>20,000,000</w:t>
            </w:r>
          </w:p>
        </w:tc>
      </w:tr>
      <w:tr w:rsidR="00576BCF" w:rsidRPr="00CB15A4" w:rsidTr="000C0273">
        <w:trPr>
          <w:trHeight w:val="183"/>
        </w:trPr>
        <w:tc>
          <w:tcPr>
            <w:tcW w:w="5115" w:type="dxa"/>
            <w:gridSpan w:val="3"/>
            <w:shd w:val="clear" w:color="auto" w:fill="auto"/>
            <w:tcMar>
              <w:left w:w="115" w:type="dxa"/>
            </w:tcMar>
          </w:tcPr>
          <w:p w:rsidR="00576BCF" w:rsidRPr="00CB15A4" w:rsidRDefault="00576BCF" w:rsidP="000C0273">
            <w:pPr>
              <w:rPr>
                <w:b/>
                <w:i/>
                <w:sz w:val="22"/>
                <w:szCs w:val="22"/>
              </w:rPr>
            </w:pPr>
            <w:r>
              <w:rPr>
                <w:b/>
                <w:i/>
                <w:sz w:val="22"/>
                <w:szCs w:val="22"/>
              </w:rPr>
              <w:t>Grants-in-Aid</w:t>
            </w:r>
            <w:r w:rsidRPr="00CB15A4">
              <w:rPr>
                <w:b/>
                <w:i/>
                <w:sz w:val="22"/>
                <w:szCs w:val="22"/>
              </w:rPr>
              <w:t>:</w:t>
            </w:r>
          </w:p>
        </w:tc>
        <w:tc>
          <w:tcPr>
            <w:tcW w:w="1440" w:type="dxa"/>
            <w:shd w:val="clear" w:color="auto" w:fill="auto"/>
            <w:vAlign w:val="center"/>
          </w:tcPr>
          <w:p w:rsidR="00576BCF" w:rsidRPr="00CB15A4" w:rsidRDefault="00576BCF" w:rsidP="000C0273">
            <w:pPr>
              <w:rPr>
                <w:sz w:val="22"/>
                <w:szCs w:val="22"/>
              </w:rPr>
            </w:pPr>
          </w:p>
        </w:tc>
        <w:tc>
          <w:tcPr>
            <w:tcW w:w="1350" w:type="dxa"/>
            <w:tcBorders>
              <w:top w:val="single" w:sz="4" w:space="0" w:color="auto"/>
            </w:tcBorders>
            <w:shd w:val="clear" w:color="auto" w:fill="auto"/>
            <w:vAlign w:val="center"/>
          </w:tcPr>
          <w:p w:rsidR="00576BCF" w:rsidRPr="00CB15A4" w:rsidRDefault="00576BCF" w:rsidP="000C0273">
            <w:pPr>
              <w:rPr>
                <w:sz w:val="22"/>
                <w:szCs w:val="22"/>
              </w:rPr>
            </w:pPr>
          </w:p>
        </w:tc>
      </w:tr>
      <w:tr w:rsidR="00576BCF" w:rsidRPr="00CB15A4" w:rsidTr="000C0273">
        <w:trPr>
          <w:trHeight w:val="144"/>
        </w:trPr>
        <w:tc>
          <w:tcPr>
            <w:tcW w:w="975" w:type="dxa"/>
            <w:gridSpan w:val="2"/>
            <w:shd w:val="clear" w:color="auto" w:fill="auto"/>
            <w:tcMar>
              <w:left w:w="115" w:type="dxa"/>
            </w:tcMar>
          </w:tcPr>
          <w:p w:rsidR="00576BCF" w:rsidRPr="00CB15A4" w:rsidRDefault="00576BCF" w:rsidP="000C0273">
            <w:pPr>
              <w:jc w:val="right"/>
              <w:rPr>
                <w:sz w:val="22"/>
                <w:szCs w:val="22"/>
              </w:rPr>
            </w:pPr>
            <w:r>
              <w:rPr>
                <w:sz w:val="22"/>
                <w:szCs w:val="22"/>
              </w:rPr>
              <w:t>02</w:t>
            </w:r>
            <w:r w:rsidRPr="00CB15A4">
              <w:rPr>
                <w:sz w:val="22"/>
                <w:szCs w:val="22"/>
              </w:rPr>
              <w:t xml:space="preserve"> </w:t>
            </w:r>
          </w:p>
        </w:tc>
        <w:tc>
          <w:tcPr>
            <w:tcW w:w="4140" w:type="dxa"/>
            <w:shd w:val="clear" w:color="auto" w:fill="auto"/>
          </w:tcPr>
          <w:p w:rsidR="00576BCF" w:rsidRPr="00CB15A4" w:rsidRDefault="00576BCF" w:rsidP="000C0273">
            <w:pPr>
              <w:pStyle w:val="ApropTab"/>
            </w:pPr>
            <w:r>
              <w:t xml:space="preserve">Low Income Housing Tax Credit Project Financing Gap </w:t>
            </w:r>
            <w:proofErr w:type="gramStart"/>
            <w:r>
              <w:t>Loans</w:t>
            </w:r>
            <w:r w:rsidRPr="00CB15A4">
              <w:t xml:space="preserve">  </w:t>
            </w:r>
            <w:r>
              <w:t>.....................</w:t>
            </w:r>
            <w:proofErr w:type="gramEnd"/>
          </w:p>
        </w:tc>
        <w:tc>
          <w:tcPr>
            <w:tcW w:w="1440" w:type="dxa"/>
            <w:shd w:val="clear" w:color="auto" w:fill="auto"/>
            <w:vAlign w:val="bottom"/>
          </w:tcPr>
          <w:p w:rsidR="00576BCF" w:rsidRPr="00CB15A4" w:rsidRDefault="00576BCF" w:rsidP="000C0273">
            <w:pPr>
              <w:jc w:val="right"/>
              <w:rPr>
                <w:sz w:val="22"/>
                <w:szCs w:val="22"/>
              </w:rPr>
            </w:pPr>
            <w:r w:rsidRPr="00CB15A4">
              <w:rPr>
                <w:sz w:val="22"/>
                <w:szCs w:val="22"/>
              </w:rPr>
              <w:t>($</w:t>
            </w:r>
            <w:r>
              <w:rPr>
                <w:sz w:val="22"/>
                <w:szCs w:val="22"/>
              </w:rPr>
              <w:t>20,000,000</w:t>
            </w:r>
            <w:r w:rsidRPr="00CB15A4">
              <w:rPr>
                <w:sz w:val="22"/>
                <w:szCs w:val="22"/>
              </w:rPr>
              <w:t>)</w:t>
            </w:r>
          </w:p>
        </w:tc>
        <w:tc>
          <w:tcPr>
            <w:tcW w:w="1350" w:type="dxa"/>
            <w:shd w:val="clear" w:color="auto" w:fill="auto"/>
            <w:vAlign w:val="center"/>
          </w:tcPr>
          <w:p w:rsidR="00576BCF" w:rsidRPr="00CB15A4" w:rsidRDefault="00576BCF" w:rsidP="000C0273">
            <w:pPr>
              <w:rPr>
                <w:sz w:val="22"/>
                <w:szCs w:val="22"/>
              </w:rPr>
            </w:pPr>
          </w:p>
        </w:tc>
      </w:tr>
    </w:tbl>
    <w:p w:rsidR="00576BCF" w:rsidRDefault="00576BCF" w:rsidP="00576BCF">
      <w:pPr>
        <w:ind w:left="288" w:hanging="288"/>
      </w:pPr>
    </w:p>
    <w:p w:rsidR="00576BCF" w:rsidRDefault="00576BCF" w:rsidP="00576BCF">
      <w:pPr>
        <w:ind w:left="288" w:hanging="288"/>
      </w:pPr>
      <w:r>
        <w:t xml:space="preserve">The amount </w:t>
      </w:r>
      <w:proofErr w:type="gramStart"/>
      <w:r>
        <w:t xml:space="preserve">hereinabove </w:t>
      </w:r>
      <w:r w:rsidRPr="00B74BF3">
        <w:t xml:space="preserve"> appropriated</w:t>
      </w:r>
      <w:proofErr w:type="gramEnd"/>
      <w:r w:rsidRPr="00B74BF3">
        <w:t xml:space="preserve"> </w:t>
      </w:r>
      <w:r>
        <w:t xml:space="preserve"> for Low Income Housing Tax Credit Project Financing Gap Loans shall be allocated</w:t>
      </w:r>
      <w:r w:rsidRPr="00B74BF3">
        <w:t xml:space="preserve"> to the </w:t>
      </w:r>
      <w:r>
        <w:t xml:space="preserve">New Jersey </w:t>
      </w:r>
      <w:r w:rsidRPr="00B74BF3">
        <w:t>Housing Mortgage Finance Agency</w:t>
      </w:r>
      <w:r>
        <w:t xml:space="preserve"> (HMFA)</w:t>
      </w:r>
      <w:r w:rsidRPr="00B74BF3">
        <w:t xml:space="preserve"> for the purposes of providing loans to</w:t>
      </w:r>
      <w:r>
        <w:t xml:space="preserve"> developers of</w:t>
      </w:r>
      <w:r w:rsidRPr="00B74BF3">
        <w:t xml:space="preserve"> </w:t>
      </w:r>
      <w:r>
        <w:t>projects</w:t>
      </w:r>
      <w:r w:rsidRPr="00B74BF3">
        <w:t xml:space="preserve"> previously </w:t>
      </w:r>
      <w:r>
        <w:t>awarded</w:t>
      </w:r>
      <w:r w:rsidRPr="00B74BF3">
        <w:t xml:space="preserve"> tax credits pursuant to the </w:t>
      </w:r>
      <w:r>
        <w:t xml:space="preserve">federal </w:t>
      </w:r>
      <w:r w:rsidRPr="00B74BF3">
        <w:t xml:space="preserve">Low Income Housing Tax Credit </w:t>
      </w:r>
      <w:r>
        <w:t>Program</w:t>
      </w:r>
      <w:r w:rsidRPr="00B74BF3">
        <w:t xml:space="preserve"> </w:t>
      </w:r>
      <w:r>
        <w:t>and which</w:t>
      </w:r>
      <w:r w:rsidRPr="00B74BF3">
        <w:t xml:space="preserve"> now face project financing gaps due to increased cost</w:t>
      </w:r>
      <w:r>
        <w:t xml:space="preserve"> of building material</w:t>
      </w:r>
      <w:r w:rsidRPr="00B74BF3">
        <w:t xml:space="preserve">s as a result of the COVID-19 pandemic. </w:t>
      </w:r>
      <w:r>
        <w:t>Developers seeking a Low Income Housing Tax Credit Project Financing Gap Loan shall file an application on a form prescribed by the Executive Director of the HMFA, which application shall set forth the minimum criteria that must be met in order for an application to be considered by the Executive Director of the HMFA for a determination of eligibility. The application shall, at a minimum, include an updated</w:t>
      </w:r>
      <w:r w:rsidRPr="00B74BF3">
        <w:t xml:space="preserve"> cost estimate</w:t>
      </w:r>
      <w:r>
        <w:t xml:space="preserve"> for the project and permit the Executive Director of the HMFA to</w:t>
      </w:r>
      <w:r w:rsidRPr="00B74BF3">
        <w:t xml:space="preserve"> confirm the existence of a project financing gap. </w:t>
      </w:r>
      <w:r>
        <w:t xml:space="preserve"> The Executive Director of the HMFA shall determine whether a developer meets the minimum criteria for a Low Income Housing Tax Credit Project Financing Gap Loan and, if so, the amount of the loan award</w:t>
      </w:r>
      <w:r w:rsidRPr="00B74BF3">
        <w:t>.</w:t>
      </w:r>
    </w:p>
    <w:p w:rsidR="00576BCF" w:rsidRDefault="00576BCF" w:rsidP="00576BCF"/>
    <w:p w:rsidR="00576BCF" w:rsidRDefault="00576BCF" w:rsidP="00576BCF">
      <w:r>
        <w:tab/>
        <w:t>2.  This act shall take effect immediately.</w:t>
      </w:r>
    </w:p>
    <w:p w:rsidR="00E55A5A" w:rsidRPr="00CE7BD8" w:rsidRDefault="00E55A5A" w:rsidP="00686AEB"/>
    <w:p w:rsidR="00E55A5A" w:rsidRPr="00CE7BD8" w:rsidRDefault="00E55A5A" w:rsidP="00686AEB"/>
    <w:p w:rsidR="00686AEB" w:rsidRPr="00AA7880" w:rsidRDefault="00686AEB" w:rsidP="00686AEB">
      <w:pPr>
        <w:jc w:val="center"/>
      </w:pPr>
      <w:r w:rsidRPr="00D71D68">
        <w:t>STATEMENT</w:t>
      </w:r>
    </w:p>
    <w:p w:rsidR="00686AEB" w:rsidRDefault="00686AEB" w:rsidP="00686AEB"/>
    <w:p w:rsidR="00576BCF" w:rsidRDefault="00576BCF" w:rsidP="00576BCF">
      <w:r>
        <w:tab/>
        <w:t xml:space="preserve">This bill appropriates $20 million to grant loans to developers of certain affordable housing projects which qualified for a credit award through the federal Low Income Housing Tax Credit Program (LIHTC). New Jersey’s LIHTC allocation is administered by the Housing and Mortgage Finance Agency (HMFA). The bill also includes a language provision requiring the Executive Director of the HMFA to establish an application process and criteria for determining whether a developer is eligible for a project financing gap loan.  </w:t>
      </w:r>
    </w:p>
    <w:p w:rsidR="00576BCF" w:rsidRDefault="00576BCF" w:rsidP="00576BCF">
      <w:r>
        <w:tab/>
        <w:t>Due to the economic effects of the COVID-19 pandemic, the cost of building materials increased substantially, leaving many affordable housing projects with project financing gaps.</w:t>
      </w:r>
    </w:p>
    <w:p w:rsidR="00576BCF" w:rsidRDefault="00576BCF" w:rsidP="00576BCF">
      <w:r>
        <w:tab/>
        <w:t>This bill seeks to diminish the financing gap by providing funding to the HMFA</w:t>
      </w:r>
      <w:r w:rsidRPr="00B74BF3">
        <w:t xml:space="preserve"> </w:t>
      </w:r>
      <w:r>
        <w:t xml:space="preserve">to grant loans to projects awarded tax credits </w:t>
      </w:r>
      <w:r w:rsidRPr="00B74BF3">
        <w:t xml:space="preserve">pursuant to the </w:t>
      </w:r>
      <w:r>
        <w:t xml:space="preserve">federal </w:t>
      </w:r>
      <w:r w:rsidRPr="00B74BF3">
        <w:t xml:space="preserve">Low Income Housing Tax Credit program (LIHTC) </w:t>
      </w:r>
      <w:r>
        <w:t>if the project developer can demonstrate that the developer’s project financing gap was caused by the increased cost of building materials.</w:t>
      </w:r>
    </w:p>
    <w:sectPr w:rsidR="00576BCF" w:rsidSect="00237D09">
      <w:headerReference w:type="default" r:id="rId13"/>
      <w:footerReference w:type="default" r:id="rId14"/>
      <w:headerReference w:type="first" r:id="rId15"/>
      <w:footerReference w:type="first" r:id="rId16"/>
      <w:pgSz w:w="12240" w:h="20160" w:code="5"/>
      <w:pgMar w:top="1440" w:right="2520" w:bottom="126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ECD" w:rsidRDefault="00F84ECD">
      <w:r>
        <w:separator/>
      </w:r>
    </w:p>
  </w:endnote>
  <w:endnote w:type="continuationSeparator" w:id="0">
    <w:p w:rsidR="00F84ECD" w:rsidRDefault="00F8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ECD" w:rsidRDefault="00F84ECD">
      <w:r>
        <w:separator/>
      </w:r>
    </w:p>
  </w:footnote>
  <w:footnote w:type="continuationSeparator" w:id="0">
    <w:p w:rsidR="00F84ECD" w:rsidRDefault="00F8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4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26A1" w:rsidRDefault="00C926A1" w:rsidP="00C926A1">
    <w:pPr>
      <w:pStyle w:val="bpuHeadSpon"/>
    </w:pPr>
    <w:r w:rsidRPr="00C926A1">
      <w:rPr>
        <w:rStyle w:val="bpuHeadSponChar"/>
      </w:rPr>
      <w:t>S3969</w:t>
    </w:r>
    <w:r>
      <w:t xml:space="preserve"> SINGLETON</w:t>
    </w:r>
  </w:p>
  <w:p w:rsidR="00C926A1" w:rsidRDefault="00C926A1" w:rsidP="00C926A1">
    <w:pPr>
      <w:pStyle w:val="bpuHeadSpon"/>
    </w:pPr>
    <w:r>
      <w:fldChar w:fldCharType="begin"/>
    </w:r>
    <w:r>
      <w:instrText xml:space="preserve"> PAGE  \* MERGEFORMAT </w:instrText>
    </w:r>
    <w:r>
      <w:fldChar w:fldCharType="separate"/>
    </w:r>
    <w:r w:rsidR="00757435">
      <w:rPr>
        <w:noProof/>
      </w:rPr>
      <w:t>3</w:t>
    </w:r>
    <w:r>
      <w:fldChar w:fldCharType="end"/>
    </w:r>
  </w:p>
  <w:p w:rsidR="00C926A1" w:rsidRDefault="00C926A1" w:rsidP="00C926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26A1" w:rsidRDefault="00C926A1" w:rsidP="00C926A1">
    <w:pPr>
      <w:pStyle w:val="bpuHeadSpon"/>
    </w:pPr>
    <w:r w:rsidRPr="00C926A1">
      <w:rPr>
        <w:rStyle w:val="bpuHeadSponChar"/>
      </w:rPr>
      <w:t>S3969</w:t>
    </w:r>
    <w:r>
      <w:t xml:space="preserve"> SINGLETON</w:t>
    </w:r>
  </w:p>
  <w:p w:rsidR="00C926A1" w:rsidRDefault="00C926A1" w:rsidP="00C926A1">
    <w:pPr>
      <w:pStyle w:val="bpuHeadSpon"/>
    </w:pPr>
    <w:r>
      <w:fldChar w:fldCharType="begin"/>
    </w:r>
    <w:r>
      <w:instrText xml:space="preserve"> PAGE  \* MERGEFORMAT </w:instrText>
    </w:r>
    <w:r>
      <w:fldChar w:fldCharType="separate"/>
    </w:r>
    <w:r w:rsidR="00757435">
      <w:rPr>
        <w:noProof/>
      </w:rPr>
      <w:t>2</w:t>
    </w:r>
    <w:r>
      <w:fldChar w:fldCharType="end"/>
    </w:r>
  </w:p>
  <w:p w:rsidR="00C926A1" w:rsidRDefault="00C926A1" w:rsidP="00C926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EC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D0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BC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E2"/>
    <w:rsid w:val="00613FF5"/>
    <w:rsid w:val="006155A8"/>
    <w:rsid w:val="00621076"/>
    <w:rsid w:val="00621B94"/>
    <w:rsid w:val="00626239"/>
    <w:rsid w:val="00635316"/>
    <w:rsid w:val="00635449"/>
    <w:rsid w:val="006378C5"/>
    <w:rsid w:val="00642DEB"/>
    <w:rsid w:val="00645E6A"/>
    <w:rsid w:val="00660E2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435"/>
    <w:rsid w:val="00764456"/>
    <w:rsid w:val="00781B4D"/>
    <w:rsid w:val="007824BF"/>
    <w:rsid w:val="00783B8D"/>
    <w:rsid w:val="00787C7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E7C"/>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6A1"/>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A5A"/>
    <w:rsid w:val="00E608F1"/>
    <w:rsid w:val="00E611B9"/>
    <w:rsid w:val="00E7144F"/>
    <w:rsid w:val="00E73D74"/>
    <w:rsid w:val="00E76A79"/>
    <w:rsid w:val="00E80692"/>
    <w:rsid w:val="00E80C24"/>
    <w:rsid w:val="00E93836"/>
    <w:rsid w:val="00EA0FE7"/>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EC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5BA5A1-9D2F-4835-BDEB-89B6178C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42D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DEB"/>
    <w:rPr>
      <w:rFonts w:ascii="Segoe UI" w:hAnsi="Segoe UI" w:cs="Segoe UI"/>
      <w:spacing w:val="4"/>
      <w:sz w:val="18"/>
      <w:szCs w:val="18"/>
    </w:rPr>
  </w:style>
  <w:style w:type="character" w:styleId="LineNumber">
    <w:name w:val="line number"/>
    <w:basedOn w:val="DefaultParagraphFont"/>
    <w:semiHidden/>
    <w:unhideWhenUsed/>
    <w:rsid w:val="00C92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1D207-3317-4D9C-A26D-77C693B3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510</Words>
  <Characters>2833</Characters>
  <Application>Microsoft Office Word</Application>
  <DocSecurity>0</DocSecurity>
  <Lines>99</Lines>
  <Paragraphs>33</Paragraphs>
  <ScaleCrop>false</ScaleCrop>
  <HeadingPairs>
    <vt:vector size="2" baseType="variant">
      <vt:variant>
        <vt:lpstr>Title</vt:lpstr>
      </vt:variant>
      <vt:variant>
        <vt:i4>1</vt:i4>
      </vt:variant>
    </vt:vector>
  </HeadingPairs>
  <TitlesOfParts>
    <vt:vector size="1" baseType="lpstr">
      <vt:lpstr>S3969</vt:lpstr>
    </vt:vector>
  </TitlesOfParts>
  <Manager>R229</Manager>
  <Company>NJ Office of Legislative Services</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S3969</dc:title>
  <dc:subject/>
  <dc:creator>Senator  SINGLETON</dc:creator>
  <cp:keywords>S3969|3|RF |298|0|298|N|0|</cp:keywords>
  <dc:description>INTRODUCED JUNE 16, 2021</dc:description>
  <cp:lastModifiedBy>Bell, Careema</cp:lastModifiedBy>
  <cp:revision>2</cp:revision>
  <cp:lastPrinted>2021-06-15T14:38:00Z</cp:lastPrinted>
  <dcterms:created xsi:type="dcterms:W3CDTF">2021-06-17T13:30:00Z</dcterms:created>
  <dcterms:modified xsi:type="dcterms:W3CDTF">2021-06-17T13:30:00Z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