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B22" w:rsidRDefault="003D4B22" w:rsidP="003D4B22">
      <w:pPr>
        <w:pStyle w:val="bpuReprint"/>
      </w:pPr>
      <w:bookmarkStart w:id="0" w:name="bpuFrontPg"/>
      <w:bookmarkStart w:id="1" w:name="_GoBack"/>
      <w:bookmarkEnd w:id="0"/>
      <w:bookmarkEnd w:id="1"/>
      <w:r>
        <w:t>[First Reprint]</w:t>
      </w:r>
    </w:p>
    <w:p w:rsidR="00DB3136" w:rsidRDefault="00DB3136" w:rsidP="00DB3136">
      <w:pPr>
        <w:pStyle w:val="bpuBill"/>
      </w:pPr>
      <w:r>
        <w:t xml:space="preserve">SENATE, No. 3994 </w:t>
      </w:r>
    </w:p>
    <w:p w:rsidR="00DB3136" w:rsidRPr="009D38FF" w:rsidRDefault="00DB3136" w:rsidP="00DB31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1606086" r:id="rId8"/>
        </w:object>
      </w:r>
    </w:p>
    <w:p w:rsidR="00DB3136" w:rsidRDefault="00DB3136" w:rsidP="00DB3136">
      <w:pPr>
        <w:pStyle w:val="bpuState"/>
      </w:pPr>
      <w:r>
        <w:t>STATE OF NEW JERSEY</w:t>
      </w:r>
    </w:p>
    <w:p w:rsidR="00DB3136" w:rsidRDefault="00DB3136" w:rsidP="00DB3136">
      <w:pPr>
        <w:pStyle w:val="bpuLegislature"/>
      </w:pPr>
      <w:r>
        <w:t>219th LEGISLATURE</w:t>
      </w:r>
    </w:p>
    <w:p w:rsidR="00DB3136" w:rsidRDefault="00DB3136" w:rsidP="00DB3136">
      <w:pPr>
        <w:pStyle w:val="bpuWpGraphic"/>
      </w:pPr>
      <w:r>
        <w:object w:dxaOrig="8985" w:dyaOrig="255">
          <v:shape id="_x0000_i1026" type="#_x0000_t75" style="width:6in;height:12.2pt" o:ole="">
            <v:imagedata r:id="rId7" o:title=""/>
          </v:shape>
          <o:OLEObject Type="Embed" ProgID="WPWin6.1" ShapeID="_x0000_i1026" DrawAspect="Content" ObjectID="_1701606087" r:id="rId9"/>
        </w:object>
      </w:r>
      <w:r>
        <w:t xml:space="preserve">  </w:t>
      </w:r>
    </w:p>
    <w:p w:rsidR="00DB3136" w:rsidRDefault="00DB3136" w:rsidP="00DB3136">
      <w:pPr>
        <w:pStyle w:val="bpuIntro"/>
      </w:pPr>
      <w:r>
        <w:t>INTRODUCED JUNE 21, 2021</w:t>
      </w:r>
    </w:p>
    <w:p w:rsidR="00DB3136" w:rsidRDefault="00DB3136" w:rsidP="00DB3136">
      <w:pPr>
        <w:pStyle w:val="bpuIntro"/>
      </w:pPr>
    </w:p>
    <w:p w:rsidR="00DB3136" w:rsidRDefault="00DB3136" w:rsidP="00DB3136">
      <w:pPr>
        <w:pStyle w:val="bpuIntro"/>
        <w:sectPr w:rsidR="00DB3136" w:rsidSect="005F29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B3136" w:rsidRDefault="00DB3136" w:rsidP="00DB3136">
      <w:pPr>
        <w:pStyle w:val="bpuIntro"/>
      </w:pPr>
    </w:p>
    <w:p w:rsidR="00DB3136" w:rsidRDefault="00DB3136" w:rsidP="00DB3136">
      <w:pPr>
        <w:pStyle w:val="bpuSponsor"/>
      </w:pPr>
      <w:r>
        <w:t>Sponsored by:</w:t>
      </w:r>
    </w:p>
    <w:p w:rsidR="00DB3136" w:rsidRDefault="00DB3136" w:rsidP="00DB3136">
      <w:pPr>
        <w:pStyle w:val="bpuSponsor"/>
      </w:pPr>
      <w:r>
        <w:t>Senator  STEPHEN M. SWEENEY</w:t>
      </w:r>
    </w:p>
    <w:p w:rsidR="00DB3136" w:rsidRDefault="00DB3136" w:rsidP="00DB3136">
      <w:pPr>
        <w:pStyle w:val="bpuSponsor"/>
      </w:pPr>
      <w:r>
        <w:t>District 3 (Cumberland, Gloucester and Salem)</w:t>
      </w:r>
    </w:p>
    <w:p w:rsidR="00DB3136" w:rsidRDefault="005F2955" w:rsidP="005F2955">
      <w:pPr>
        <w:pStyle w:val="bpuSponsor"/>
      </w:pPr>
      <w:r>
        <w:t>Assemblyman  LOUIS D. GREENWALD</w:t>
      </w:r>
    </w:p>
    <w:p w:rsidR="005F2955" w:rsidRDefault="005F2955" w:rsidP="005F2955">
      <w:pPr>
        <w:pStyle w:val="bpuSponsor"/>
      </w:pPr>
      <w:r>
        <w:t>District 6 (Burlington and Camden)</w:t>
      </w:r>
    </w:p>
    <w:p w:rsidR="005F2955" w:rsidRDefault="005F2955" w:rsidP="005F2955">
      <w:pPr>
        <w:pStyle w:val="bpuSponsor"/>
      </w:pPr>
      <w:r>
        <w:t>Assemblyman  VINCENT MAZZEO</w:t>
      </w:r>
    </w:p>
    <w:p w:rsidR="005F2955" w:rsidRDefault="005F2955" w:rsidP="005F2955">
      <w:pPr>
        <w:pStyle w:val="bpuSponsor"/>
      </w:pPr>
      <w:r>
        <w:t>District 2 (Atlantic)</w:t>
      </w:r>
    </w:p>
    <w:p w:rsidR="005F2955" w:rsidRDefault="005F2955" w:rsidP="005F2955">
      <w:pPr>
        <w:pStyle w:val="bpuSponsor"/>
      </w:pPr>
      <w:r>
        <w:t>Assemblyman  JOHN ARMATO</w:t>
      </w:r>
    </w:p>
    <w:p w:rsidR="005F2955" w:rsidRDefault="005F2955" w:rsidP="005F2955">
      <w:pPr>
        <w:pStyle w:val="bpuSponsor"/>
      </w:pPr>
      <w:r>
        <w:t>District 2 (Atlantic)</w:t>
      </w:r>
    </w:p>
    <w:p w:rsidR="005F2955" w:rsidRDefault="005F2955" w:rsidP="005F2955">
      <w:pPr>
        <w:pStyle w:val="bpuSponsor"/>
      </w:pPr>
      <w:r>
        <w:t>Assemblywoman  CAROL A. MURPHY</w:t>
      </w:r>
    </w:p>
    <w:p w:rsidR="005F2955" w:rsidRDefault="005F2955" w:rsidP="005F2955">
      <w:pPr>
        <w:pStyle w:val="bpuSponsor"/>
      </w:pPr>
      <w:r>
        <w:t>District 7 (Burlington)</w:t>
      </w:r>
    </w:p>
    <w:p w:rsidR="005F2955" w:rsidRPr="005F2955" w:rsidRDefault="005F2955" w:rsidP="005F2955"/>
    <w:p w:rsidR="00DB3136" w:rsidRDefault="005F2955" w:rsidP="005F2955">
      <w:pPr>
        <w:pStyle w:val="bpuSponsor"/>
      </w:pPr>
      <w:r>
        <w:t>Co-Sponsored by:</w:t>
      </w:r>
    </w:p>
    <w:p w:rsidR="005F2955" w:rsidRDefault="005F2955" w:rsidP="005F2955">
      <w:pPr>
        <w:pStyle w:val="bpuSponsor"/>
      </w:pPr>
      <w:r w:rsidRPr="005F2955">
        <w:t>Assemblyman Caputo</w:t>
      </w:r>
    </w:p>
    <w:p w:rsidR="005F2955" w:rsidRDefault="005F2955" w:rsidP="005F2955"/>
    <w:p w:rsidR="005F2955" w:rsidRPr="005F2955" w:rsidRDefault="005F2955" w:rsidP="005F2955"/>
    <w:p w:rsidR="00DB3136" w:rsidRDefault="00DB3136" w:rsidP="00DB3136">
      <w:pPr>
        <w:pStyle w:val="bpuSponsor"/>
      </w:pPr>
    </w:p>
    <w:p w:rsidR="00DB3136" w:rsidRDefault="00DB3136" w:rsidP="00DB3136">
      <w:pPr>
        <w:pStyle w:val="bpuSponsor"/>
      </w:pPr>
    </w:p>
    <w:p w:rsidR="00DB3136" w:rsidRDefault="00DB3136" w:rsidP="00810E46">
      <w:pPr>
        <w:pStyle w:val="bpuSponsor"/>
      </w:pPr>
      <w:r>
        <w:t>SYNOPSIS</w:t>
      </w:r>
    </w:p>
    <w:p w:rsidR="00DB3136" w:rsidRDefault="00810E46" w:rsidP="00DB3136">
      <w:pPr>
        <w:pStyle w:val="bpuNormText"/>
      </w:pPr>
      <w:r>
        <w:tab/>
      </w:r>
      <w:r w:rsidR="00DB3136">
        <w:t>Temporarily modifies taxes and credits of casino licensees; permanently redefines promotional gaming credits to include certain coupons and table game wagers; requires priority funding for senior and disabled transportation services.</w:t>
      </w:r>
    </w:p>
    <w:p w:rsidR="00DB3136" w:rsidRDefault="00DB3136" w:rsidP="00DB3136">
      <w:pPr>
        <w:pStyle w:val="bpuNormText"/>
      </w:pPr>
    </w:p>
    <w:p w:rsidR="00DB3136" w:rsidRDefault="00DB3136" w:rsidP="00DB3136">
      <w:pPr>
        <w:pStyle w:val="bpuSponsor"/>
      </w:pPr>
      <w:r>
        <w:t xml:space="preserve">CURRENT VERSION OF TEXT </w:t>
      </w:r>
    </w:p>
    <w:p w:rsidR="00DB3136" w:rsidRDefault="003D4B22" w:rsidP="00DB3136">
      <w:pPr>
        <w:pStyle w:val="bpuNormText"/>
      </w:pPr>
      <w:r>
        <w:tab/>
        <w:t>As reported by the Senate Budget and Appropriations Committee on December 6, 2021, with amendments.</w:t>
      </w:r>
    </w:p>
    <w:p w:rsidR="00DB3136" w:rsidRDefault="00DB3136" w:rsidP="00DB31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3136" w:rsidRDefault="00DB3136" w:rsidP="008916EC">
      <w:pPr>
        <w:pStyle w:val="FronterPage"/>
        <w:tabs>
          <w:tab w:val="clear" w:pos="720"/>
          <w:tab w:val="clear" w:pos="1440"/>
          <w:tab w:val="clear" w:pos="2160"/>
          <w:tab w:val="clear" w:pos="2880"/>
          <w:tab w:val="clear" w:pos="3600"/>
          <w:tab w:val="clear" w:pos="4320"/>
          <w:tab w:val="clear" w:pos="5040"/>
        </w:tabs>
        <w:sectPr w:rsidR="00DB3136" w:rsidSect="00DB3136">
          <w:type w:val="continuous"/>
          <w:pgSz w:w="12240" w:h="20160" w:code="5"/>
          <w:pgMar w:top="1440" w:right="2275" w:bottom="1440" w:left="2275" w:header="72" w:footer="720" w:gutter="0"/>
          <w:pgNumType w:start="1"/>
          <w:cols w:space="720"/>
          <w:docGrid w:linePitch="360"/>
        </w:sectPr>
      </w:pPr>
    </w:p>
    <w:p w:rsidR="00686AEB" w:rsidRPr="007304DB" w:rsidRDefault="00683D01" w:rsidP="003E47BA">
      <w:pPr>
        <w:pStyle w:val="HangingAnAct"/>
        <w:rPr>
          <w:rStyle w:val="HangingAnActChar"/>
        </w:rPr>
      </w:pPr>
      <w:r w:rsidRPr="007304DB">
        <w:rPr>
          <w:rStyle w:val="BillHead"/>
        </w:rPr>
        <w:lastRenderedPageBreak/>
        <w:t>An Act</w:t>
      </w:r>
      <w:r w:rsidR="00686AEB" w:rsidRPr="007304DB">
        <w:rPr>
          <w:rStyle w:val="HangingAnActChar"/>
        </w:rPr>
        <w:t xml:space="preserve"> </w:t>
      </w:r>
      <w:r w:rsidR="00F47533" w:rsidRPr="007304DB">
        <w:rPr>
          <w:rStyle w:val="HangingAnActChar"/>
        </w:rPr>
        <w:t>concerning temporary modifications to the taxes and credits of casino licensees, permanent modifications to the types of promotional gaming credits, and priority funding for certain programs funded from the Casino Revenue Fund, and amending P.L.2008, c.12 and P.L.1983, c.578.</w:t>
      </w:r>
    </w:p>
    <w:p w:rsidR="000B1054" w:rsidRPr="007304DB" w:rsidRDefault="000B1054" w:rsidP="000B1054"/>
    <w:p w:rsidR="00686AEB" w:rsidRPr="007304DB" w:rsidRDefault="00686AEB" w:rsidP="00686AEB">
      <w:r w:rsidRPr="007304DB">
        <w:tab/>
      </w:r>
      <w:r w:rsidR="00683D01" w:rsidRPr="007304DB">
        <w:rPr>
          <w:rStyle w:val="BillHeading2"/>
        </w:rPr>
        <w:t>Be It Enacted</w:t>
      </w:r>
      <w:r w:rsidRPr="007304DB">
        <w:rPr>
          <w:rStyle w:val="BillHeading2"/>
        </w:rPr>
        <w:t xml:space="preserve"> </w:t>
      </w:r>
      <w:r w:rsidR="00683D01" w:rsidRPr="007304DB">
        <w:rPr>
          <w:rStyle w:val="BillLanguage"/>
        </w:rPr>
        <w:t>by the Senate and General Assembly of the State of New Jersey:</w:t>
      </w:r>
    </w:p>
    <w:p w:rsidR="00686AEB" w:rsidRPr="007304DB" w:rsidRDefault="00686AEB" w:rsidP="00686AEB"/>
    <w:p w:rsidR="003D4B22" w:rsidRPr="007304DB" w:rsidRDefault="003D4B22" w:rsidP="003D4B22">
      <w:r w:rsidRPr="007304DB">
        <w:tab/>
        <w:t>1.</w:t>
      </w:r>
      <w:r>
        <w:t xml:space="preserve"> </w:t>
      </w:r>
      <w:r w:rsidRPr="007304DB">
        <w:t xml:space="preserve"> a.  Notwithstanding the provisions of the “Casino Control Act,” P.L.1977, c.110 (C.5:12-1 et seq.), or any law, rule, or regulation to the contrary, the Division of Gaming Enforcement shall calculate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for each casino licensee for the 12-month period beginning January</w:t>
      </w:r>
      <w:r>
        <w:t xml:space="preserve">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December 31, 2021.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shall be determined by subtracting the amount of promotional gaming credits eligible for a deduction pursuant to section 2 of P.L.2008, c.12 (C.5:12-144.2) from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actual</w:t>
      </w:r>
      <w:r>
        <w:rPr>
          <w:rFonts w:ascii="Albertus Extra Bold" w:hAnsi="Albertus Extra Bold"/>
          <w:b/>
          <w:vertAlign w:val="superscript"/>
        </w:rPr>
        <w:t>1</w:t>
      </w:r>
      <w:r w:rsidRPr="007304DB">
        <w:t xml:space="preserve"> gross revenue of each casino licensee over that 12-month period.  The division shall then apply the tax rates set forth in subsection b. of this section to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of each casino licensee, and the division shall also apply an 8 percent tax rate to the taxable gross re</w:t>
      </w:r>
      <w:r>
        <w:t xml:space="preserve">venue of each casino licensee.  </w:t>
      </w:r>
      <w:r w:rsidRPr="007304DB">
        <w:t xml:space="preserve">Each casino licensee shall be allowed a credit against the tax imposed under section 144 of P.L.1977, c.110 (C.5:12-144) for the 12-month period following the effective date of this act in an amount representing the difference between the amount calculated by applying an 8 percent tax rate to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gross revenue of each casino licensee and the amount calculated by applying the tax rates set forth in subsection b. of this section to the </w:t>
      </w:r>
      <w:r>
        <w:rPr>
          <w:rFonts w:ascii="Albertus Extra Bold" w:hAnsi="Albertus Extra Bold"/>
          <w:b/>
          <w:vertAlign w:val="superscript"/>
        </w:rPr>
        <w:t>1</w:t>
      </w:r>
      <w:r w:rsidRPr="003A7646">
        <w:rPr>
          <w:rFonts w:ascii="Albertus Extra Bold" w:hAnsi="Albertus Extra Bold"/>
          <w:b/>
        </w:rPr>
        <w:t>[</w:t>
      </w:r>
      <w:r w:rsidRPr="007304DB">
        <w:t>projected</w:t>
      </w:r>
      <w:r w:rsidRPr="003A7646">
        <w:rPr>
          <w:rFonts w:ascii="Albertus Extra Bold" w:hAnsi="Albertus Extra Bold"/>
          <w:b/>
        </w:rPr>
        <w:t>]</w:t>
      </w:r>
      <w:r>
        <w:t xml:space="preserve"> </w:t>
      </w:r>
      <w:r>
        <w:rPr>
          <w:u w:val="single"/>
        </w:rPr>
        <w:t>adjusted</w:t>
      </w:r>
      <w:r>
        <w:rPr>
          <w:rFonts w:ascii="Albertus Extra Bold" w:hAnsi="Albertus Extra Bold"/>
          <w:b/>
          <w:vertAlign w:val="superscript"/>
        </w:rPr>
        <w:t>1</w:t>
      </w:r>
      <w:r w:rsidRPr="007304DB">
        <w:t xml:space="preserve"> taxable revenue of each casino licensee.  This credit shall be allowed in monthly installments in one-twelfth increments.</w:t>
      </w:r>
      <w:r>
        <w:t xml:space="preserve"> </w:t>
      </w:r>
    </w:p>
    <w:p w:rsidR="003D4B22" w:rsidRPr="007304DB" w:rsidRDefault="003D4B22" w:rsidP="003D4B22">
      <w:r w:rsidRPr="007304DB">
        <w:tab/>
        <w:t>b.</w:t>
      </w:r>
      <w:r>
        <w:t xml:space="preserve"> </w:t>
      </w:r>
      <w:r w:rsidRPr="007304DB">
        <w:t xml:space="preserve"> The Division of Gaming Enforcement shall calculate the casino win of each casino licensee for the four month period beginning January</w:t>
      </w:r>
      <w:r>
        <w:t xml:space="preserve">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as a percentage of the casino win of each casino gaming property for the four month period comprised of January 2020, February 2020, March 2019, and April 2019.  For the purposes of the calculation performed pursuant to subsection a. of this section, the rate applicable to a casino licensee shall be as follows:</w:t>
      </w:r>
    </w:p>
    <w:p w:rsidR="003D4B22" w:rsidRDefault="003D4B22" w:rsidP="003D4B22">
      <w:r w:rsidRPr="007304DB">
        <w:tab/>
        <w:t xml:space="preserve">(1) </w:t>
      </w:r>
      <w:r>
        <w:t xml:space="preserve"> </w:t>
      </w:r>
      <w:r w:rsidRPr="007304DB">
        <w:t xml:space="preserve">for each casino licensee for which casino win for the four month period beginning January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are at least 50 percent and les</w:t>
      </w:r>
      <w:r>
        <w:t>s than 75 percent of the casino</w:t>
      </w:r>
      <w:r>
        <w:br w:type="page"/>
      </w:r>
    </w:p>
    <w:p w:rsidR="003D4B22" w:rsidRPr="007304DB" w:rsidRDefault="003D4B22" w:rsidP="003D4B22">
      <w:r w:rsidRPr="007304DB">
        <w:t>win for the four month period comprised of January 2020, February 2020, March 2019, and April 2019, the tax rate used for the calculation performed pursuant to subsection a. of this section shall be 6.8 percent; and</w:t>
      </w:r>
    </w:p>
    <w:p w:rsidR="003D4B22" w:rsidRPr="007304DB" w:rsidRDefault="003D4B22" w:rsidP="003D4B22">
      <w:r w:rsidRPr="007304DB">
        <w:tab/>
        <w:t xml:space="preserve">(2) </w:t>
      </w:r>
      <w:r>
        <w:t xml:space="preserve"> </w:t>
      </w:r>
      <w:r w:rsidRPr="007304DB">
        <w:t xml:space="preserve">for each casino licensee for which casino win for the four-month period beginning January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are at least 75 percent and less than 100 percent of the casino win for the </w:t>
      </w:r>
      <w:r>
        <w:rPr>
          <w:rFonts w:ascii="Albertus Extra Bold" w:hAnsi="Albertus Extra Bold"/>
          <w:b/>
          <w:vertAlign w:val="superscript"/>
        </w:rPr>
        <w:t>1</w:t>
      </w:r>
      <w:r w:rsidRPr="00164F74">
        <w:rPr>
          <w:rFonts w:ascii="Albertus Extra Bold" w:hAnsi="Albertus Extra Bold"/>
          <w:b/>
        </w:rPr>
        <w:t>[</w:t>
      </w:r>
      <w:r w:rsidRPr="007304DB">
        <w:t>for the</w:t>
      </w:r>
      <w:r w:rsidRPr="00164F74">
        <w:rPr>
          <w:rFonts w:ascii="Albertus Extra Bold" w:hAnsi="Albertus Extra Bold"/>
          <w:b/>
        </w:rPr>
        <w:t>]</w:t>
      </w:r>
      <w:r>
        <w:rPr>
          <w:rFonts w:ascii="Albertus Extra Bold" w:hAnsi="Albertus Extra Bold"/>
          <w:b/>
          <w:vertAlign w:val="superscript"/>
        </w:rPr>
        <w:t>1</w:t>
      </w:r>
      <w:r w:rsidRPr="007304DB">
        <w:t xml:space="preserve"> four month period comprised of January 2020, February 2020, March 2019, and April 2019, the tax rate used for the calculation performed pursuant to subsection a. of this section shall be 7.4 percent.</w:t>
      </w:r>
    </w:p>
    <w:p w:rsidR="003D4B22" w:rsidRPr="007304DB" w:rsidRDefault="003D4B22" w:rsidP="003D4B22">
      <w:r w:rsidRPr="007304DB">
        <w:tab/>
        <w:t>c.</w:t>
      </w:r>
      <w:r>
        <w:t xml:space="preserve"> </w:t>
      </w:r>
      <w:r w:rsidRPr="007304DB">
        <w:t xml:space="preserve"> A casino licensee for which casino win for the four-month period beginning January </w:t>
      </w:r>
      <w:r>
        <w:rPr>
          <w:rFonts w:ascii="Albertus Extra Bold" w:hAnsi="Albertus Extra Bold"/>
          <w:b/>
          <w:vertAlign w:val="superscript"/>
        </w:rPr>
        <w:t>1</w:t>
      </w:r>
      <w:r>
        <w:rPr>
          <w:u w:val="single"/>
        </w:rPr>
        <w:t>1,</w:t>
      </w:r>
      <w:r>
        <w:rPr>
          <w:rFonts w:ascii="Albertus Extra Bold" w:hAnsi="Albertus Extra Bold"/>
          <w:b/>
          <w:vertAlign w:val="superscript"/>
        </w:rPr>
        <w:t>1</w:t>
      </w:r>
      <w:r w:rsidRPr="007304DB">
        <w:t xml:space="preserve"> 2021 and ending April 30, 2021 are 100 percent or more of the casino win for the </w:t>
      </w:r>
      <w:r>
        <w:rPr>
          <w:rFonts w:ascii="Albertus Extra Bold" w:hAnsi="Albertus Extra Bold"/>
          <w:b/>
          <w:vertAlign w:val="superscript"/>
        </w:rPr>
        <w:t>1</w:t>
      </w:r>
      <w:r w:rsidRPr="00164F74">
        <w:rPr>
          <w:rFonts w:ascii="Albertus Extra Bold" w:hAnsi="Albertus Extra Bold"/>
          <w:b/>
        </w:rPr>
        <w:t>[</w:t>
      </w:r>
      <w:r w:rsidRPr="007304DB">
        <w:t>for the</w:t>
      </w:r>
      <w:r w:rsidRPr="00164F74">
        <w:rPr>
          <w:rFonts w:ascii="Albertus Extra Bold" w:hAnsi="Albertus Extra Bold"/>
          <w:b/>
        </w:rPr>
        <w:t>]</w:t>
      </w:r>
      <w:r>
        <w:rPr>
          <w:rFonts w:ascii="Albertus Extra Bold" w:hAnsi="Albertus Extra Bold"/>
          <w:b/>
          <w:vertAlign w:val="superscript"/>
        </w:rPr>
        <w:t>1</w:t>
      </w:r>
      <w:r w:rsidRPr="007304DB">
        <w:t xml:space="preserve"> four month period comprised of January 2020, February 2020, March 2019, and April 2019 shall be allowed a credit  against the tax imposed under section 144 of P.L.1977, c.110 (C.5:12-144) for the 12-month period following the effective date of this act in an amount that is 90 percent of the lowest credit dollar amount allowed to a casino pursuant to the calculation performed under subsection a. of this section.  This credit shall be allowed in monthly installments in one-twelfth increments.</w:t>
      </w:r>
    </w:p>
    <w:p w:rsidR="003D4B22" w:rsidRPr="007304DB" w:rsidRDefault="003D4B22" w:rsidP="003D4B22">
      <w:r w:rsidRPr="007304DB">
        <w:tab/>
        <w:t xml:space="preserve">d. </w:t>
      </w:r>
      <w:r>
        <w:t xml:space="preserve"> </w:t>
      </w:r>
      <w:r w:rsidRPr="007304DB">
        <w:t>Each casino licensee allowed a credit under this section shall submit to the State Treasurer and the Division of Gaming Enforcement, at the same time that the credit is claimed, a report documenting that an amount equal to the entire dollar amount allowed as a credit under this act is being expended by the licensee for any of the following purposes:</w:t>
      </w:r>
    </w:p>
    <w:p w:rsidR="003D4B22" w:rsidRPr="007304DB" w:rsidRDefault="003D4B22" w:rsidP="003D4B22">
      <w:r>
        <w:tab/>
        <w:t>(1)</w:t>
      </w:r>
      <w:r>
        <w:tab/>
      </w:r>
      <w:r w:rsidRPr="007304DB">
        <w:t>the prompt re-hiring and employment of the casino licensee’s former employees and new applicants, which shall include a certification by each casino licensee that the licensee has made a good faith effort to rehire former and new employees commensurate with an increase in business activity;</w:t>
      </w:r>
    </w:p>
    <w:p w:rsidR="003D4B22" w:rsidRPr="007304DB" w:rsidRDefault="003D4B22" w:rsidP="003D4B22">
      <w:r w:rsidRPr="007304DB">
        <w:tab/>
        <w:t>(2)</w:t>
      </w:r>
      <w:r>
        <w:t xml:space="preserve"> </w:t>
      </w:r>
      <w:r w:rsidRPr="007304DB">
        <w:t xml:space="preserve"> attracting tourists, gaming, and hospitality patrons to visit and stay at the casino hotel property;</w:t>
      </w:r>
    </w:p>
    <w:p w:rsidR="003D4B22" w:rsidRPr="007304DB" w:rsidRDefault="003D4B22" w:rsidP="003D4B22">
      <w:r w:rsidRPr="007304DB">
        <w:tab/>
        <w:t xml:space="preserve">(3) </w:t>
      </w:r>
      <w:r>
        <w:t xml:space="preserve"> </w:t>
      </w:r>
      <w:r w:rsidRPr="007304DB">
        <w:t>marketing and promotion for events that would draw visitors to the property or Atlantic City, such as entertainment and conventions; and</w:t>
      </w:r>
    </w:p>
    <w:p w:rsidR="003D4B22" w:rsidRPr="007304DB" w:rsidRDefault="003D4B22" w:rsidP="003D4B22">
      <w:r w:rsidRPr="007304DB">
        <w:tab/>
        <w:t>(4)  any other activity deemed by the State Treasurer or the division to be beneficial to the return of pre-emergency economic, gaming, and tourism levels to Atlantic City.</w:t>
      </w:r>
    </w:p>
    <w:p w:rsidR="000724A0" w:rsidRPr="007304DB" w:rsidRDefault="003D4B22" w:rsidP="003D4B22">
      <w:r w:rsidRPr="007304DB">
        <w:tab/>
        <w:t>A casino licensee’s failure to submit the report required under this subsection shall deem the licensee ineligible to receive the credit under this act for each month.</w:t>
      </w:r>
    </w:p>
    <w:p w:rsidR="000724A0" w:rsidRPr="007304DB" w:rsidRDefault="000724A0" w:rsidP="000724A0"/>
    <w:p w:rsidR="000724A0" w:rsidRPr="007304DB" w:rsidRDefault="00810E46" w:rsidP="000724A0">
      <w:r>
        <w:tab/>
        <w:t>2.</w:t>
      </w:r>
      <w:r>
        <w:tab/>
      </w:r>
      <w:r w:rsidR="000724A0" w:rsidRPr="007304DB">
        <w:rPr>
          <w:color w:val="000000"/>
        </w:rPr>
        <w:t>Section 1 of P.L.2008, c.12 (C.5:12-38a) is amended to read as follows:</w:t>
      </w:r>
    </w:p>
    <w:p w:rsidR="000724A0" w:rsidRPr="007304DB" w:rsidRDefault="000724A0" w:rsidP="000724A0">
      <w:r w:rsidRPr="007304DB">
        <w:tab/>
      </w:r>
      <w:r w:rsidRPr="007304DB">
        <w:rPr>
          <w:color w:val="000000"/>
        </w:rPr>
        <w:t>1.  “Promotional gaming credit” - A slot machine credit, sports wagering credit</w:t>
      </w:r>
      <w:r w:rsidRPr="007304DB">
        <w:rPr>
          <w:color w:val="000000"/>
          <w:u w:val="single"/>
        </w:rPr>
        <w:t>, match play coupon, table game wager coupon,</w:t>
      </w:r>
      <w:r w:rsidRPr="007304DB">
        <w:rPr>
          <w:color w:val="000000"/>
        </w:rPr>
        <w:t> or other item approved by the division that is issued by a licensee to a patron for the purpose of enabling the placement of a wager at a slot machine</w:t>
      </w:r>
      <w:r w:rsidRPr="007304DB">
        <w:rPr>
          <w:color w:val="000000"/>
          <w:u w:val="single"/>
        </w:rPr>
        <w:t>, a gaming table,</w:t>
      </w:r>
      <w:r w:rsidRPr="007304DB">
        <w:rPr>
          <w:color w:val="000000"/>
        </w:rPr>
        <w:t> or in a sports pool 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Pr="007304DB">
        <w:rPr>
          <w:color w:val="000000"/>
          <w:u w:val="single"/>
        </w:rPr>
        <w:t>,</w:t>
      </w:r>
      <w:r w:rsidRPr="007304DB">
        <w:t xml:space="preserve"> </w:t>
      </w:r>
      <w:r w:rsidRPr="007304DB">
        <w:rPr>
          <w:color w:val="000000"/>
          <w:u w:val="single"/>
        </w:rPr>
        <w:t>a gaming table,</w:t>
      </w:r>
      <w:r w:rsidRPr="007304DB">
        <w:rPr>
          <w:color w:val="000000"/>
        </w:rPr>
        <w:t> or in a sports pool in the licensee's casino or Internet gaming system.</w:t>
      </w:r>
    </w:p>
    <w:p w:rsidR="000724A0" w:rsidRPr="007304DB" w:rsidRDefault="000724A0" w:rsidP="000724A0">
      <w:pPr>
        <w:rPr>
          <w:color w:val="000000"/>
        </w:rPr>
      </w:pPr>
      <w:r w:rsidRPr="007304DB">
        <w:rPr>
          <w:color w:val="000000"/>
        </w:rPr>
        <w:t>(</w:t>
      </w:r>
      <w:proofErr w:type="spellStart"/>
      <w:r w:rsidRPr="007304DB">
        <w:rPr>
          <w:color w:val="000000"/>
        </w:rPr>
        <w:t>cf</w:t>
      </w:r>
      <w:proofErr w:type="spellEnd"/>
      <w:r w:rsidRPr="007304DB">
        <w:rPr>
          <w:color w:val="000000"/>
        </w:rPr>
        <w:t>: P.L.2018, c.33, s.13)</w:t>
      </w:r>
    </w:p>
    <w:p w:rsidR="000724A0" w:rsidRPr="007304DB" w:rsidRDefault="000724A0" w:rsidP="000724A0">
      <w:pPr>
        <w:rPr>
          <w:color w:val="000000"/>
        </w:rPr>
      </w:pPr>
    </w:p>
    <w:p w:rsidR="00170331" w:rsidRPr="007304DB" w:rsidRDefault="000724A0" w:rsidP="000724A0">
      <w:pPr>
        <w:rPr>
          <w:color w:val="000000"/>
        </w:rPr>
      </w:pPr>
      <w:r w:rsidRPr="007304DB">
        <w:rPr>
          <w:color w:val="000000"/>
        </w:rPr>
        <w:tab/>
        <w:t>3.  Notwithstanding the provisions of section 2 of P.L.2008, c.12 (C.5:12-144.2), and any other law, rule, or regulation to the contrary, a casino licensee shall be entitled during the 24-month period commencing on the first day of the calendar month following the effective date of this act, P.L.    , c.    (pending before the Legislature as this bill), and ending on the last day of the 24th month thereafter to receive a monthly deduction from the gross revenue taxed pursuant to subsection a. of section 144 of P.L.1977, c.110 (C.5:12-144) in an amount equal to the full amount of promotional gaming credits, including match play coupons and table game wager coupons, reported each month by that licensee. The $90,000,000 threshold specified under section 2 of P.L.2008, c.12 (C.5:12-144.2) shall not apply during the 24-month period specified under this section</w:t>
      </w:r>
      <w:r w:rsidR="00A80067" w:rsidRPr="007304DB">
        <w:rPr>
          <w:color w:val="000000"/>
        </w:rPr>
        <w:t>.</w:t>
      </w:r>
    </w:p>
    <w:p w:rsidR="00170331" w:rsidRPr="007304DB" w:rsidRDefault="00170331" w:rsidP="000724A0">
      <w:pPr>
        <w:rPr>
          <w:color w:val="000000"/>
        </w:rPr>
      </w:pPr>
    </w:p>
    <w:p w:rsidR="00170331" w:rsidRPr="007304DB" w:rsidRDefault="00170331" w:rsidP="000724A0">
      <w:pPr>
        <w:rPr>
          <w:color w:val="000000"/>
        </w:rPr>
      </w:pPr>
      <w:r w:rsidRPr="007304DB">
        <w:rPr>
          <w:color w:val="000000"/>
        </w:rPr>
        <w:tab/>
      </w:r>
      <w:r w:rsidR="00A80067" w:rsidRPr="007304DB">
        <w:rPr>
          <w:color w:val="000000"/>
        </w:rPr>
        <w:t>4.  No casino operator shall use funds or</w:t>
      </w:r>
      <w:r w:rsidRPr="007304DB">
        <w:rPr>
          <w:color w:val="000000"/>
        </w:rPr>
        <w:t xml:space="preserve"> savings resulting from P.L.    , c.     </w:t>
      </w:r>
      <w:r w:rsidR="00A80067" w:rsidRPr="007304DB">
        <w:rPr>
          <w:color w:val="000000"/>
        </w:rPr>
        <w:t>(pending before the Legislature as this bill) to repurchase stock</w:t>
      </w:r>
      <w:r w:rsidRPr="007304DB">
        <w:rPr>
          <w:color w:val="000000"/>
        </w:rPr>
        <w:t xml:space="preserve"> or stock options</w:t>
      </w:r>
      <w:r w:rsidR="00A80067" w:rsidRPr="007304DB">
        <w:rPr>
          <w:color w:val="000000"/>
        </w:rPr>
        <w:t>, issue a dividend, or provide for bonuses for any officer or executive employee.</w:t>
      </w:r>
    </w:p>
    <w:p w:rsidR="00170331" w:rsidRPr="007304DB" w:rsidRDefault="00170331" w:rsidP="000724A0">
      <w:pPr>
        <w:rPr>
          <w:color w:val="000000"/>
        </w:rPr>
      </w:pPr>
    </w:p>
    <w:p w:rsidR="00170331" w:rsidRPr="007304DB" w:rsidRDefault="00170331" w:rsidP="00170331">
      <w:pPr>
        <w:rPr>
          <w:color w:val="000000"/>
        </w:rPr>
      </w:pPr>
      <w:r w:rsidRPr="007304DB">
        <w:rPr>
          <w:color w:val="000000"/>
        </w:rPr>
        <w:tab/>
      </w:r>
      <w:r w:rsidRPr="007304DB">
        <w:t xml:space="preserve">5.  </w:t>
      </w:r>
      <w:r w:rsidRPr="007304DB">
        <w:rPr>
          <w:color w:val="000000"/>
        </w:rPr>
        <w:t>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p>
    <w:p w:rsidR="00170331" w:rsidRPr="007304DB" w:rsidRDefault="00170331" w:rsidP="00170331">
      <w:pPr>
        <w:rPr>
          <w:color w:val="000000"/>
        </w:rPr>
      </w:pPr>
    </w:p>
    <w:p w:rsidR="003D4B22" w:rsidRPr="007304DB" w:rsidRDefault="003D4B22" w:rsidP="003D4B22">
      <w:pPr>
        <w:rPr>
          <w:color w:val="000000"/>
        </w:rPr>
      </w:pPr>
      <w:r w:rsidRPr="007304DB">
        <w:rPr>
          <w:color w:val="000000"/>
        </w:rPr>
        <w:tab/>
        <w:t>6.  Section 4 of P.L.1983, c.578 (C.27:25-28) is amended to read as follows:</w:t>
      </w:r>
    </w:p>
    <w:p w:rsidR="003D4B22" w:rsidRPr="007304DB" w:rsidRDefault="003D4B22" w:rsidP="003D4B22">
      <w:pPr>
        <w:rPr>
          <w:color w:val="000000"/>
        </w:rPr>
      </w:pPr>
      <w:r w:rsidRPr="007304DB">
        <w:rPr>
          <w:color w:val="000000"/>
        </w:rPr>
        <w:tab/>
        <w:t>4.  a.</w:t>
      </w:r>
      <w:r>
        <w:rPr>
          <w:color w:val="000000"/>
        </w:rPr>
        <w:t xml:space="preserve"> </w:t>
      </w:r>
      <w:r w:rsidRPr="007304DB">
        <w:rPr>
          <w:color w:val="000000"/>
        </w:rPr>
        <w:t xml:space="preserve"> The board shall establish and administer a program to be known as “The Senior Citizen and Disabled Resident Transportation Assistance Program” for the following purposes:</w:t>
      </w:r>
    </w:p>
    <w:p w:rsidR="003D4B22" w:rsidRPr="007304DB" w:rsidRDefault="003D4B22" w:rsidP="003D4B22">
      <w:pPr>
        <w:rPr>
          <w:color w:val="000000"/>
        </w:rPr>
      </w:pPr>
      <w:r w:rsidRPr="007304DB">
        <w:rPr>
          <w:color w:val="000000"/>
        </w:rPr>
        <w:tab/>
        <w:t xml:space="preserve">(1) </w:t>
      </w:r>
      <w:r>
        <w:rPr>
          <w:color w:val="000000"/>
        </w:rPr>
        <w:t xml:space="preserve"> </w:t>
      </w:r>
      <w:r w:rsidRPr="007304DB">
        <w:rPr>
          <w:color w:val="000000"/>
        </w:rPr>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3D4B22" w:rsidRPr="007304DB" w:rsidRDefault="003D4B22" w:rsidP="003D4B22">
      <w:pPr>
        <w:rPr>
          <w:color w:val="000000"/>
        </w:rPr>
      </w:pPr>
      <w:r w:rsidRPr="007304DB">
        <w:rPr>
          <w:color w:val="000000"/>
        </w:rPr>
        <w:tab/>
        <w:t xml:space="preserve">(2) </w:t>
      </w:r>
      <w:r>
        <w:rPr>
          <w:color w:val="000000"/>
        </w:rPr>
        <w:t xml:space="preserve"> </w:t>
      </w:r>
      <w:r w:rsidRPr="007304DB">
        <w:rPr>
          <w:color w:val="000000"/>
        </w:rPr>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3D4B22" w:rsidRPr="007304DB" w:rsidRDefault="003D4B22" w:rsidP="003D4B22">
      <w:pPr>
        <w:rPr>
          <w:color w:val="000000"/>
        </w:rPr>
      </w:pPr>
      <w:r w:rsidRPr="007304DB">
        <w:rPr>
          <w:color w:val="000000"/>
        </w:rPr>
        <w:tab/>
        <w:t>b.</w:t>
      </w:r>
      <w:r>
        <w:rPr>
          <w:color w:val="000000"/>
        </w:rPr>
        <w:t xml:space="preserve"> </w:t>
      </w:r>
      <w:r w:rsidRPr="007304DB">
        <w:rPr>
          <w:color w:val="000000"/>
        </w:rPr>
        <w:t xml:space="preserve"> 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w:t>
      </w:r>
      <w:r>
        <w:rPr>
          <w:rFonts w:ascii="Albertus Extra Bold" w:hAnsi="Albertus Extra Bold"/>
          <w:b/>
          <w:color w:val="000000"/>
          <w:vertAlign w:val="superscript"/>
        </w:rPr>
        <w:t>1</w:t>
      </w:r>
      <w:r w:rsidRPr="00915D12">
        <w:rPr>
          <w:rFonts w:ascii="Albertus Extra Bold" w:hAnsi="Albertus Extra Bold"/>
          <w:b/>
        </w:rPr>
        <w:t>[</w:t>
      </w:r>
      <w:r w:rsidRPr="007304DB">
        <w:rPr>
          <w:color w:val="000000"/>
        </w:rPr>
        <w:t>8.5%</w:t>
      </w:r>
      <w:r w:rsidRPr="00915D12">
        <w:rPr>
          <w:rFonts w:ascii="Albertus Extra Bold" w:hAnsi="Albertus Extra Bold"/>
          <w:b/>
        </w:rPr>
        <w:t>]</w:t>
      </w:r>
      <w:r>
        <w:t xml:space="preserve"> </w:t>
      </w:r>
      <w:r>
        <w:rPr>
          <w:u w:val="single"/>
        </w:rPr>
        <w:t>8.5 percent</w:t>
      </w:r>
      <w:r>
        <w:rPr>
          <w:rFonts w:ascii="Albertus Extra Bold" w:hAnsi="Albertus Extra Bold"/>
          <w:b/>
          <w:vertAlign w:val="superscript"/>
        </w:rPr>
        <w:t>1</w:t>
      </w:r>
      <w:r w:rsidRPr="007304DB">
        <w:rPr>
          <w:color w:val="000000"/>
        </w:rPr>
        <w:t xml:space="preserve"> of the revenues deposited in the fund during the preceding fiscal year, as determined by the State Treasurer, to effectuate the purposes and provisions of P.L.1983, c.578 (C.27:25-25 et seq.).</w:t>
      </w:r>
    </w:p>
    <w:p w:rsidR="003D4B22" w:rsidRPr="007304DB" w:rsidRDefault="003D4B22" w:rsidP="003D4B22">
      <w:pPr>
        <w:rPr>
          <w:color w:val="000000"/>
          <w:u w:val="single"/>
        </w:rPr>
      </w:pPr>
      <w:r w:rsidRPr="007304DB">
        <w:rPr>
          <w:color w:val="000000"/>
        </w:rPr>
        <w:tab/>
      </w:r>
      <w:r w:rsidRPr="007304DB">
        <w:rPr>
          <w:color w:val="000000"/>
          <w:u w:val="single"/>
        </w:rPr>
        <w:t>Notwithstanding the provisions of any other law, rule, or regulation to the contrary, for the State Fiscal</w:t>
      </w:r>
      <w:r w:rsidRPr="00183C35">
        <w:rPr>
          <w:color w:val="000000"/>
        </w:rPr>
        <w:t xml:space="preserve"> </w:t>
      </w:r>
      <w:r>
        <w:rPr>
          <w:rFonts w:ascii="Albertus Extra Bold" w:hAnsi="Albertus Extra Bold"/>
          <w:b/>
          <w:color w:val="000000"/>
          <w:vertAlign w:val="superscript"/>
        </w:rPr>
        <w:t>1</w:t>
      </w:r>
      <w:r w:rsidRPr="00183C35">
        <w:rPr>
          <w:rFonts w:ascii="Albertus Extra Bold" w:hAnsi="Albertus Extra Bold"/>
          <w:b/>
        </w:rPr>
        <w:t>[</w:t>
      </w:r>
      <w:r w:rsidRPr="00183C35">
        <w:rPr>
          <w:color w:val="000000"/>
          <w:u w:val="single"/>
        </w:rPr>
        <w:t>Year 2021</w:t>
      </w:r>
      <w:r w:rsidRPr="00183C35">
        <w:rPr>
          <w:u w:val="single"/>
        </w:rPr>
        <w:t xml:space="preserve"> </w:t>
      </w:r>
      <w:r w:rsidRPr="00183C35">
        <w:rPr>
          <w:color w:val="000000"/>
          <w:u w:val="single"/>
        </w:rPr>
        <w:t>a</w:t>
      </w:r>
      <w:r w:rsidRPr="007304DB">
        <w:rPr>
          <w:color w:val="000000"/>
          <w:u w:val="single"/>
        </w:rPr>
        <w:t>nd State Fiscal Year</w:t>
      </w:r>
      <w:r w:rsidRPr="00183C35">
        <w:rPr>
          <w:rFonts w:ascii="Albertus Extra Bold" w:hAnsi="Albertus Extra Bold"/>
          <w:b/>
        </w:rPr>
        <w:t>]</w:t>
      </w:r>
      <w:r>
        <w:t xml:space="preserve"> </w:t>
      </w:r>
      <w:r>
        <w:rPr>
          <w:u w:val="single"/>
        </w:rPr>
        <w:t>Years</w:t>
      </w:r>
      <w:r>
        <w:rPr>
          <w:rFonts w:ascii="Albertus Extra Bold" w:hAnsi="Albertus Extra Bold"/>
          <w:b/>
          <w:vertAlign w:val="superscript"/>
        </w:rPr>
        <w:t>1</w:t>
      </w:r>
      <w:r>
        <w:rPr>
          <w:color w:val="000000"/>
        </w:rPr>
        <w:t xml:space="preserve"> </w:t>
      </w:r>
      <w:r w:rsidRPr="007304DB">
        <w:rPr>
          <w:color w:val="000000"/>
          <w:u w:val="single"/>
        </w:rPr>
        <w:t>2022</w:t>
      </w:r>
      <w:r>
        <w:t xml:space="preserve"> </w:t>
      </w:r>
      <w:r>
        <w:rPr>
          <w:rFonts w:ascii="Albertus Extra Bold" w:hAnsi="Albertus Extra Bold"/>
          <w:b/>
          <w:vertAlign w:val="superscript"/>
        </w:rPr>
        <w:t>1</w:t>
      </w:r>
      <w:r>
        <w:rPr>
          <w:u w:val="single"/>
        </w:rPr>
        <w:t>, 2</w:t>
      </w:r>
      <w:r w:rsidRPr="00183C35">
        <w:rPr>
          <w:u w:val="single"/>
        </w:rPr>
        <w:t>023, and 2</w:t>
      </w:r>
      <w:r>
        <w:rPr>
          <w:u w:val="single"/>
        </w:rPr>
        <w:t>024</w:t>
      </w:r>
      <w:r>
        <w:rPr>
          <w:rFonts w:ascii="Albertus Extra Bold" w:hAnsi="Albertus Extra Bold"/>
          <w:b/>
          <w:vertAlign w:val="superscript"/>
        </w:rPr>
        <w:t>1</w:t>
      </w:r>
      <w:r w:rsidRPr="007304DB">
        <w:rPr>
          <w:color w:val="000000"/>
          <w:u w:val="single"/>
        </w:rPr>
        <w:t>, appropriations to the corporation from the revenues deposited in the Casino Revenue Fund</w:t>
      </w:r>
      <w:r w:rsidRPr="00915D12">
        <w:rPr>
          <w:color w:val="000000"/>
        </w:rPr>
        <w:t xml:space="preserve"> </w:t>
      </w:r>
      <w:r>
        <w:rPr>
          <w:rFonts w:ascii="Albertus Extra Bold" w:hAnsi="Albertus Extra Bold"/>
          <w:b/>
          <w:color w:val="000000"/>
          <w:vertAlign w:val="superscript"/>
        </w:rPr>
        <w:t>1</w:t>
      </w:r>
      <w:r>
        <w:rPr>
          <w:u w:val="single"/>
        </w:rPr>
        <w:t>or the Property Tax Relief Fund, as appropriate,</w:t>
      </w:r>
      <w:r>
        <w:rPr>
          <w:rFonts w:ascii="Albertus Extra Bold" w:hAnsi="Albertus Extra Bold"/>
          <w:b/>
          <w:vertAlign w:val="superscript"/>
        </w:rPr>
        <w:t>1</w:t>
      </w:r>
      <w:r>
        <w:rPr>
          <w:color w:val="000000"/>
        </w:rPr>
        <w:t xml:space="preserve"> </w:t>
      </w:r>
      <w:r w:rsidRPr="007304DB">
        <w:rPr>
          <w:color w:val="000000"/>
          <w:u w:val="single"/>
        </w:rPr>
        <w:t>shall be given priority to ensure that the corporation receives an amount equal to</w:t>
      </w:r>
      <w:r w:rsidRPr="00915D12">
        <w:rPr>
          <w:color w:val="000000"/>
        </w:rPr>
        <w:t xml:space="preserve"> </w:t>
      </w:r>
      <w:r>
        <w:rPr>
          <w:rFonts w:ascii="Albertus Extra Bold" w:hAnsi="Albertus Extra Bold"/>
          <w:b/>
          <w:color w:val="000000"/>
          <w:vertAlign w:val="superscript"/>
        </w:rPr>
        <w:t>1</w:t>
      </w:r>
      <w:r w:rsidRPr="00915D12">
        <w:rPr>
          <w:rFonts w:ascii="Albertus Extra Bold" w:hAnsi="Albertus Extra Bold"/>
          <w:b/>
        </w:rPr>
        <w:t>[</w:t>
      </w:r>
      <w:r w:rsidRPr="007304DB">
        <w:rPr>
          <w:color w:val="000000"/>
          <w:u w:val="single"/>
        </w:rPr>
        <w:t>8.5%</w:t>
      </w:r>
      <w:r w:rsidRPr="00915D12">
        <w:rPr>
          <w:rFonts w:ascii="Albertus Extra Bold" w:hAnsi="Albertus Extra Bold"/>
          <w:b/>
        </w:rPr>
        <w:t>]</w:t>
      </w:r>
      <w:r>
        <w:t xml:space="preserve"> </w:t>
      </w:r>
      <w:r>
        <w:rPr>
          <w:u w:val="single"/>
        </w:rPr>
        <w:t>8.5 percent</w:t>
      </w:r>
      <w:r>
        <w:rPr>
          <w:rFonts w:ascii="Albertus Extra Bold" w:hAnsi="Albertus Extra Bold"/>
          <w:b/>
          <w:color w:val="000000"/>
          <w:vertAlign w:val="superscript"/>
        </w:rPr>
        <w:t>1</w:t>
      </w:r>
      <w:r w:rsidRPr="00915D12">
        <w:rPr>
          <w:color w:val="000000"/>
        </w:rPr>
        <w:t xml:space="preserve"> </w:t>
      </w:r>
      <w:r w:rsidRPr="007304DB">
        <w:rPr>
          <w:color w:val="000000"/>
          <w:u w:val="single"/>
        </w:rPr>
        <w:t>of the</w:t>
      </w:r>
      <w:r w:rsidRPr="00B45255">
        <w:rPr>
          <w:color w:val="000000"/>
        </w:rPr>
        <w:t xml:space="preserve"> </w:t>
      </w:r>
      <w:r>
        <w:rPr>
          <w:rFonts w:ascii="Albertus Extra Bold" w:hAnsi="Albertus Extra Bold"/>
          <w:b/>
          <w:color w:val="000000"/>
          <w:vertAlign w:val="superscript"/>
        </w:rPr>
        <w:t>1</w:t>
      </w:r>
      <w:r>
        <w:rPr>
          <w:u w:val="single"/>
        </w:rPr>
        <w:t>sum of the</w:t>
      </w:r>
      <w:r>
        <w:rPr>
          <w:rFonts w:ascii="Albertus Extra Bold" w:hAnsi="Albertus Extra Bold"/>
          <w:b/>
          <w:color w:val="000000"/>
          <w:vertAlign w:val="superscript"/>
        </w:rPr>
        <w:t>1</w:t>
      </w:r>
      <w:r>
        <w:rPr>
          <w:color w:val="000000"/>
        </w:rPr>
        <w:t xml:space="preserve"> </w:t>
      </w:r>
      <w:r w:rsidRPr="007304DB">
        <w:rPr>
          <w:color w:val="000000"/>
          <w:u w:val="single"/>
        </w:rPr>
        <w:t>revenues deposited in the</w:t>
      </w:r>
      <w:r w:rsidRPr="00AF6489">
        <w:rPr>
          <w:color w:val="000000"/>
        </w:rPr>
        <w:t xml:space="preserve"> </w:t>
      </w:r>
      <w:r>
        <w:rPr>
          <w:rFonts w:ascii="Albertus Extra Bold" w:hAnsi="Albertus Extra Bold"/>
          <w:b/>
          <w:color w:val="000000"/>
          <w:vertAlign w:val="superscript"/>
        </w:rPr>
        <w:t>1</w:t>
      </w:r>
      <w:r w:rsidRPr="00AF6489">
        <w:rPr>
          <w:rFonts w:ascii="Albertus Extra Bold" w:hAnsi="Albertus Extra Bold"/>
          <w:b/>
        </w:rPr>
        <w:t>[</w:t>
      </w:r>
      <w:r w:rsidRPr="007304DB">
        <w:rPr>
          <w:color w:val="000000"/>
          <w:u w:val="single"/>
        </w:rPr>
        <w:t>fund</w:t>
      </w:r>
      <w:r w:rsidRPr="00AF6489">
        <w:rPr>
          <w:rFonts w:ascii="Albertus Extra Bold" w:hAnsi="Albertus Extra Bold"/>
          <w:b/>
        </w:rPr>
        <w:t>]</w:t>
      </w:r>
      <w:r>
        <w:t xml:space="preserve"> </w:t>
      </w:r>
      <w:r>
        <w:rPr>
          <w:u w:val="single"/>
        </w:rPr>
        <w:t>Casino Revenue Fund</w:t>
      </w:r>
      <w:r>
        <w:rPr>
          <w:rFonts w:ascii="Albertus Extra Bold" w:hAnsi="Albertus Extra Bold"/>
          <w:b/>
          <w:vertAlign w:val="superscript"/>
        </w:rPr>
        <w:t>1</w:t>
      </w:r>
      <w:r>
        <w:rPr>
          <w:color w:val="000000"/>
        </w:rPr>
        <w:t xml:space="preserve"> </w:t>
      </w:r>
      <w:r w:rsidRPr="007304DB">
        <w:rPr>
          <w:color w:val="000000"/>
          <w:u w:val="single"/>
        </w:rPr>
        <w:t>during the</w:t>
      </w:r>
      <w:r w:rsidRPr="00183C35">
        <w:rPr>
          <w:color w:val="000000"/>
        </w:rPr>
        <w:t xml:space="preserve"> </w:t>
      </w:r>
      <w:r>
        <w:rPr>
          <w:rFonts w:ascii="Albertus Extra Bold" w:hAnsi="Albertus Extra Bold"/>
          <w:b/>
          <w:color w:val="000000"/>
          <w:vertAlign w:val="superscript"/>
        </w:rPr>
        <w:t>1</w:t>
      </w:r>
      <w:r w:rsidRPr="00183C35">
        <w:rPr>
          <w:rFonts w:ascii="Albertus Extra Bold" w:hAnsi="Albertus Extra Bold"/>
          <w:b/>
        </w:rPr>
        <w:t>[</w:t>
      </w:r>
      <w:r w:rsidRPr="007304DB">
        <w:rPr>
          <w:color w:val="000000"/>
          <w:u w:val="single"/>
        </w:rPr>
        <w:t>State Fiscal Year 2019</w:t>
      </w:r>
      <w:r w:rsidRPr="00183C35">
        <w:rPr>
          <w:rFonts w:ascii="Albertus Extra Bold" w:hAnsi="Albertus Extra Bold"/>
          <w:b/>
        </w:rPr>
        <w:t>]</w:t>
      </w:r>
      <w:r w:rsidRPr="00183C35">
        <w:rPr>
          <w:color w:val="000000"/>
        </w:rPr>
        <w:t xml:space="preserve"> </w:t>
      </w:r>
      <w:r>
        <w:rPr>
          <w:color w:val="000000"/>
          <w:u w:val="single"/>
        </w:rPr>
        <w:t>preceding fiscal year, adding back any reductions in revenues during the preceding fiscal year that directly resulted from the temporary credit allowable under section 1 of P.L.    , c.    (pending before the Legislature as this bill) or the temporary deduction allowable under section 3 of the P.L.    , c.    (pending before the Legislature as this bill)</w:t>
      </w:r>
      <w:r>
        <w:rPr>
          <w:rFonts w:ascii="Albertus Extra Bold" w:hAnsi="Albertus Extra Bold"/>
          <w:b/>
          <w:color w:val="000000"/>
          <w:vertAlign w:val="superscript"/>
        </w:rPr>
        <w:t>1</w:t>
      </w:r>
      <w:r w:rsidRPr="00183C35">
        <w:rPr>
          <w:color w:val="000000"/>
        </w:rPr>
        <w:t xml:space="preserve"> ,</w:t>
      </w:r>
      <w:r w:rsidRPr="007304DB">
        <w:rPr>
          <w:color w:val="000000"/>
          <w:u w:val="single"/>
        </w:rPr>
        <w:t xml:space="preserve"> as determined by the State Treasurer, to effectuate the purposes and provisions of P.L.1983, c.578 (C.27:25-25 et seq.).</w:t>
      </w:r>
    </w:p>
    <w:p w:rsidR="00170331" w:rsidRPr="007304DB" w:rsidRDefault="003D4B22" w:rsidP="003D4B22">
      <w:pPr>
        <w:rPr>
          <w:color w:val="000000"/>
          <w:spacing w:val="0"/>
        </w:rPr>
      </w:pPr>
      <w:r w:rsidRPr="007304DB">
        <w:rPr>
          <w:color w:val="000000"/>
        </w:rPr>
        <w:t>(</w:t>
      </w:r>
      <w:proofErr w:type="spellStart"/>
      <w:r w:rsidRPr="007304DB">
        <w:rPr>
          <w:color w:val="000000"/>
        </w:rPr>
        <w:t>cf</w:t>
      </w:r>
      <w:proofErr w:type="spellEnd"/>
      <w:r w:rsidRPr="007304DB">
        <w:rPr>
          <w:color w:val="000000"/>
        </w:rPr>
        <w:t>: P.L.2009, c.261, s.1)</w:t>
      </w:r>
    </w:p>
    <w:p w:rsidR="000724A0" w:rsidRPr="007304DB" w:rsidRDefault="000724A0" w:rsidP="00686AEB"/>
    <w:p w:rsidR="00686AEB" w:rsidRPr="007304DB" w:rsidRDefault="00686AEB" w:rsidP="00686AEB">
      <w:r w:rsidRPr="007304DB">
        <w:tab/>
      </w:r>
      <w:r w:rsidR="00170331" w:rsidRPr="007304DB">
        <w:t>7</w:t>
      </w:r>
      <w:r w:rsidR="00810E46">
        <w:t>.</w:t>
      </w:r>
      <w:r w:rsidR="00810E46">
        <w:tab/>
      </w:r>
      <w:r w:rsidR="00683D01" w:rsidRPr="007304DB">
        <w:t>This act shall take effect</w:t>
      </w:r>
      <w:r w:rsidR="00170331" w:rsidRPr="007304DB">
        <w:t xml:space="preserve"> immediately.</w:t>
      </w:r>
    </w:p>
    <w:sectPr w:rsidR="00686AEB" w:rsidRPr="007304DB" w:rsidSect="003D4B22">
      <w:headerReference w:type="default" r:id="rId14"/>
      <w:footerReference w:type="default" r:id="rId15"/>
      <w:headerReference w:type="first" r:id="rId16"/>
      <w:footerReference w:type="first" r:id="rId17"/>
      <w:pgSz w:w="12240" w:h="20160" w:code="5"/>
      <w:pgMar w:top="1440" w:right="2520" w:bottom="1872"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1BC" w:rsidRDefault="009431BC">
      <w:r>
        <w:separator/>
      </w:r>
    </w:p>
  </w:endnote>
  <w:endnote w:type="continuationSeparator" w:id="0">
    <w:p w:rsidR="009431BC" w:rsidRDefault="0094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955" w:rsidRDefault="005F2955" w:rsidP="005F295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D01" w:rsidRPr="00921C91" w:rsidRDefault="00683D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3D01" w:rsidRPr="00921C91" w:rsidRDefault="00683D01">
    <w:pPr>
      <w:pStyle w:val="Footer"/>
      <w:rPr>
        <w:szCs w:val="18"/>
      </w:rPr>
    </w:pPr>
  </w:p>
  <w:p w:rsidR="00683D01" w:rsidRPr="00921C91" w:rsidRDefault="00683D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4B22" w:rsidRDefault="003D4B22" w:rsidP="00686AEB">
    <w:pPr>
      <w:pStyle w:val="Footer"/>
    </w:pPr>
    <w:r>
      <w:tab/>
      <w:t>Matter enclosed in superscript numerals has been adopted as follows:</w:t>
    </w:r>
  </w:p>
  <w:p w:rsidR="003D4B22" w:rsidRDefault="003D4B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1BC" w:rsidRDefault="009431BC">
      <w:r>
        <w:separator/>
      </w:r>
    </w:p>
  </w:footnote>
  <w:footnote w:type="continuationSeparator" w:id="0">
    <w:p w:rsidR="009431BC" w:rsidRDefault="00943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19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136" w:rsidRDefault="00DB3136" w:rsidP="00DB3136">
    <w:pPr>
      <w:pStyle w:val="bpuHeadSpon"/>
    </w:pPr>
    <w:r w:rsidRPr="00DB3136">
      <w:rPr>
        <w:rStyle w:val="bpuHeadSponChar"/>
      </w:rPr>
      <w:t>S3994</w:t>
    </w:r>
    <w:r>
      <w:t xml:space="preserve"> </w:t>
    </w:r>
    <w:r w:rsidR="003D4B22">
      <w:t xml:space="preserve">[1R] </w:t>
    </w:r>
    <w:r>
      <w:t>SWEENEY</w:t>
    </w:r>
  </w:p>
  <w:p w:rsidR="00DB3136" w:rsidRDefault="00DB3136" w:rsidP="00DB3136">
    <w:pPr>
      <w:pStyle w:val="bpuHeadSpon"/>
    </w:pPr>
    <w:r>
      <w:fldChar w:fldCharType="begin"/>
    </w:r>
    <w:r>
      <w:instrText xml:space="preserve"> PAGE  \* MERGEFORMAT </w:instrText>
    </w:r>
    <w:r>
      <w:fldChar w:fldCharType="separate"/>
    </w:r>
    <w:r w:rsidR="00AB7800">
      <w:rPr>
        <w:noProof/>
      </w:rPr>
      <w:t>5</w:t>
    </w:r>
    <w:r>
      <w:fldChar w:fldCharType="end"/>
    </w:r>
  </w:p>
  <w:p w:rsidR="00DB3136" w:rsidRDefault="00DB3136" w:rsidP="00DB31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136" w:rsidRDefault="00DB3136" w:rsidP="00DB3136">
    <w:pPr>
      <w:pStyle w:val="bpuHeadSpon"/>
    </w:pPr>
    <w:r w:rsidRPr="00DB3136">
      <w:rPr>
        <w:rStyle w:val="bpuHeadSponChar"/>
      </w:rPr>
      <w:t>S3994</w:t>
    </w:r>
    <w:r>
      <w:t xml:space="preserve"> </w:t>
    </w:r>
    <w:r w:rsidR="003D4B22">
      <w:t xml:space="preserve">[1R] </w:t>
    </w:r>
    <w:r>
      <w:t>SWEENEY</w:t>
    </w:r>
  </w:p>
  <w:p w:rsidR="00DB3136" w:rsidRDefault="00DB3136" w:rsidP="00DB3136">
    <w:pPr>
      <w:pStyle w:val="bpuHeadSpon"/>
    </w:pPr>
    <w:r>
      <w:fldChar w:fldCharType="begin"/>
    </w:r>
    <w:r>
      <w:instrText xml:space="preserve"> PAGE  \* MERGEFORMAT </w:instrText>
    </w:r>
    <w:r>
      <w:fldChar w:fldCharType="separate"/>
    </w:r>
    <w:r w:rsidR="00AB7800">
      <w:rPr>
        <w:noProof/>
      </w:rPr>
      <w:t>2</w:t>
    </w:r>
    <w:r>
      <w:fldChar w:fldCharType="end"/>
    </w:r>
  </w:p>
  <w:p w:rsidR="00DB3136" w:rsidRDefault="00DB3136" w:rsidP="00DB31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BC"/>
    <w:rsid w:val="000051BD"/>
    <w:rsid w:val="000160A5"/>
    <w:rsid w:val="0002335B"/>
    <w:rsid w:val="0003549A"/>
    <w:rsid w:val="000361CF"/>
    <w:rsid w:val="000367AE"/>
    <w:rsid w:val="00043B22"/>
    <w:rsid w:val="00054975"/>
    <w:rsid w:val="000570FB"/>
    <w:rsid w:val="00057D20"/>
    <w:rsid w:val="0006197C"/>
    <w:rsid w:val="0006281F"/>
    <w:rsid w:val="000724A0"/>
    <w:rsid w:val="0008141C"/>
    <w:rsid w:val="00092F6B"/>
    <w:rsid w:val="0009490D"/>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0331"/>
    <w:rsid w:val="00173D2B"/>
    <w:rsid w:val="00176343"/>
    <w:rsid w:val="00181676"/>
    <w:rsid w:val="00183603"/>
    <w:rsid w:val="0018410E"/>
    <w:rsid w:val="00194E78"/>
    <w:rsid w:val="00195C0E"/>
    <w:rsid w:val="00196F4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7D8"/>
    <w:rsid w:val="001F7405"/>
    <w:rsid w:val="00205533"/>
    <w:rsid w:val="00212B8D"/>
    <w:rsid w:val="002206C8"/>
    <w:rsid w:val="00222983"/>
    <w:rsid w:val="002370D0"/>
    <w:rsid w:val="00255958"/>
    <w:rsid w:val="00257FA2"/>
    <w:rsid w:val="0026574A"/>
    <w:rsid w:val="002660BB"/>
    <w:rsid w:val="00267FA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AD3"/>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B22"/>
    <w:rsid w:val="003E26D4"/>
    <w:rsid w:val="003E47BA"/>
    <w:rsid w:val="003F27DE"/>
    <w:rsid w:val="003F3B37"/>
    <w:rsid w:val="0040195A"/>
    <w:rsid w:val="00402DC0"/>
    <w:rsid w:val="00416C4B"/>
    <w:rsid w:val="0041751E"/>
    <w:rsid w:val="004211E5"/>
    <w:rsid w:val="00422091"/>
    <w:rsid w:val="0043386C"/>
    <w:rsid w:val="00436F2D"/>
    <w:rsid w:val="00436F5D"/>
    <w:rsid w:val="004403A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85"/>
    <w:rsid w:val="0059131D"/>
    <w:rsid w:val="005B3F92"/>
    <w:rsid w:val="005B479C"/>
    <w:rsid w:val="005B561E"/>
    <w:rsid w:val="005C07E4"/>
    <w:rsid w:val="005C2124"/>
    <w:rsid w:val="005C336F"/>
    <w:rsid w:val="005C7F3C"/>
    <w:rsid w:val="005E017C"/>
    <w:rsid w:val="005E50C6"/>
    <w:rsid w:val="005F295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955"/>
    <w:rsid w:val="00665CBC"/>
    <w:rsid w:val="00667A5C"/>
    <w:rsid w:val="00677316"/>
    <w:rsid w:val="00683D01"/>
    <w:rsid w:val="00686AEB"/>
    <w:rsid w:val="006B7897"/>
    <w:rsid w:val="006B7FA7"/>
    <w:rsid w:val="006C086A"/>
    <w:rsid w:val="006C21C1"/>
    <w:rsid w:val="006C7327"/>
    <w:rsid w:val="006D00E5"/>
    <w:rsid w:val="006D791B"/>
    <w:rsid w:val="006E2895"/>
    <w:rsid w:val="006F180D"/>
    <w:rsid w:val="006F4334"/>
    <w:rsid w:val="006F47AF"/>
    <w:rsid w:val="006F6B8A"/>
    <w:rsid w:val="007078AB"/>
    <w:rsid w:val="00707CD3"/>
    <w:rsid w:val="00716BB9"/>
    <w:rsid w:val="007256D1"/>
    <w:rsid w:val="007279FD"/>
    <w:rsid w:val="007304D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E46"/>
    <w:rsid w:val="00813627"/>
    <w:rsid w:val="00832816"/>
    <w:rsid w:val="00837109"/>
    <w:rsid w:val="00840365"/>
    <w:rsid w:val="008406A3"/>
    <w:rsid w:val="00841D2C"/>
    <w:rsid w:val="00845F3C"/>
    <w:rsid w:val="008461B8"/>
    <w:rsid w:val="008462F1"/>
    <w:rsid w:val="00847EF1"/>
    <w:rsid w:val="00852822"/>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3E8"/>
    <w:rsid w:val="009121D8"/>
    <w:rsid w:val="00912D9C"/>
    <w:rsid w:val="00916F7A"/>
    <w:rsid w:val="00917FE3"/>
    <w:rsid w:val="009318C7"/>
    <w:rsid w:val="00931C09"/>
    <w:rsid w:val="009348C2"/>
    <w:rsid w:val="009431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B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067"/>
    <w:rsid w:val="00A84C4F"/>
    <w:rsid w:val="00A932A1"/>
    <w:rsid w:val="00A96E06"/>
    <w:rsid w:val="00AA24BF"/>
    <w:rsid w:val="00AA6197"/>
    <w:rsid w:val="00AA6C70"/>
    <w:rsid w:val="00AB16FD"/>
    <w:rsid w:val="00AB2855"/>
    <w:rsid w:val="00AB4813"/>
    <w:rsid w:val="00AB780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CD0"/>
    <w:rsid w:val="00B45255"/>
    <w:rsid w:val="00B45B34"/>
    <w:rsid w:val="00B57047"/>
    <w:rsid w:val="00B61D86"/>
    <w:rsid w:val="00B6342D"/>
    <w:rsid w:val="00B726BD"/>
    <w:rsid w:val="00B732BC"/>
    <w:rsid w:val="00B8194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36"/>
    <w:rsid w:val="00DB66E2"/>
    <w:rsid w:val="00DB6AA2"/>
    <w:rsid w:val="00DE10D1"/>
    <w:rsid w:val="00DE2514"/>
    <w:rsid w:val="00DE6851"/>
    <w:rsid w:val="00DF03EE"/>
    <w:rsid w:val="00DF7000"/>
    <w:rsid w:val="00E01B71"/>
    <w:rsid w:val="00E05CC9"/>
    <w:rsid w:val="00E15573"/>
    <w:rsid w:val="00E25A5B"/>
    <w:rsid w:val="00E373C7"/>
    <w:rsid w:val="00E4267B"/>
    <w:rsid w:val="00E42F13"/>
    <w:rsid w:val="00E452DF"/>
    <w:rsid w:val="00E543CF"/>
    <w:rsid w:val="00E546FD"/>
    <w:rsid w:val="00E608F1"/>
    <w:rsid w:val="00E611B9"/>
    <w:rsid w:val="00E656E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67"/>
    <w:rsid w:val="00F27278"/>
    <w:rsid w:val="00F344E3"/>
    <w:rsid w:val="00F34D58"/>
    <w:rsid w:val="00F40FC9"/>
    <w:rsid w:val="00F41A9D"/>
    <w:rsid w:val="00F44314"/>
    <w:rsid w:val="00F47533"/>
    <w:rsid w:val="00F54B9C"/>
    <w:rsid w:val="00F56E96"/>
    <w:rsid w:val="00F573DD"/>
    <w:rsid w:val="00F618AA"/>
    <w:rsid w:val="00F61E59"/>
    <w:rsid w:val="00F63D99"/>
    <w:rsid w:val="00F6426B"/>
    <w:rsid w:val="00F709B3"/>
    <w:rsid w:val="00F71A5E"/>
    <w:rsid w:val="00F80AAC"/>
    <w:rsid w:val="00FA0AFC"/>
    <w:rsid w:val="00FA1C82"/>
    <w:rsid w:val="00FA2ED1"/>
    <w:rsid w:val="00FA4A52"/>
    <w:rsid w:val="00FA7306"/>
    <w:rsid w:val="00FB4045"/>
    <w:rsid w:val="00FB4D8E"/>
    <w:rsid w:val="00FC0D0A"/>
    <w:rsid w:val="00FC1B0B"/>
    <w:rsid w:val="00FD2F97"/>
    <w:rsid w:val="00FF50C0"/>
    <w:rsid w:val="00FF5ECC"/>
    <w:rsid w:val="00FF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15EB78"/>
  <w15:docId w15:val="{F8FA0E49-410F-42A9-BA2F-0454D697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3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7D8"/>
    <w:rPr>
      <w:rFonts w:ascii="Segoe UI" w:hAnsi="Segoe UI" w:cs="Segoe UI"/>
      <w:spacing w:val="4"/>
      <w:sz w:val="18"/>
      <w:szCs w:val="18"/>
    </w:rPr>
  </w:style>
  <w:style w:type="character" w:styleId="LineNumber">
    <w:name w:val="line number"/>
    <w:basedOn w:val="DefaultParagraphFont"/>
    <w:semiHidden/>
    <w:unhideWhenUsed/>
    <w:rsid w:val="00DB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258866">
      <w:bodyDiv w:val="1"/>
      <w:marLeft w:val="0"/>
      <w:marRight w:val="0"/>
      <w:marTop w:val="0"/>
      <w:marBottom w:val="0"/>
      <w:divBdr>
        <w:top w:val="none" w:sz="0" w:space="0" w:color="auto"/>
        <w:left w:val="none" w:sz="0" w:space="0" w:color="auto"/>
        <w:bottom w:val="none" w:sz="0" w:space="0" w:color="auto"/>
        <w:right w:val="none" w:sz="0" w:space="0" w:color="auto"/>
      </w:divBdr>
    </w:div>
    <w:div w:id="189184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DDADB-F2F3-4041-9A1F-65418472A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1780</Words>
  <Characters>9328</Characters>
  <Application>Microsoft Office Word</Application>
  <DocSecurity>0</DocSecurity>
  <Lines>221</Lines>
  <Paragraphs>50</Paragraphs>
  <ScaleCrop>false</ScaleCrop>
  <HeadingPairs>
    <vt:vector size="2" baseType="variant">
      <vt:variant>
        <vt:lpstr>Title</vt:lpstr>
      </vt:variant>
      <vt:variant>
        <vt:i4>1</vt:i4>
      </vt:variant>
    </vt:vector>
  </HeadingPairs>
  <TitlesOfParts>
    <vt:vector size="1" baseType="lpstr">
      <vt:lpstr>S3994</vt:lpstr>
    </vt:vector>
  </TitlesOfParts>
  <Manager>R229</Manager>
  <Company>NJ Office of Legislative Services</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S3994 1R</dc:title>
  <dc:subject/>
  <dc:creator>Senator  SWEENEY</dc:creator>
  <cp:keywords>S3994|5|RF |294|265|282|!||</cp:keywords>
  <dc:description>INTRODUCED JUNE 21, 2021_x000d_
Amended 12/6/21</dc:description>
  <cp:lastModifiedBy>Todaro, Vivian</cp:lastModifiedBy>
  <cp:revision>2</cp:revision>
  <cp:lastPrinted>2021-12-21T20:34:00Z</cp:lastPrinted>
  <dcterms:created xsi:type="dcterms:W3CDTF">2021-12-21T20:35:00Z</dcterms:created>
  <dcterms:modified xsi:type="dcterms:W3CDTF">2021-12-21T20:35:00Z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