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85177C" w:rsidP="00407C9E">
      <w:pPr>
        <w:pStyle w:val="NoteOrEstimate"/>
      </w:pPr>
      <w:r>
        <w:t xml:space="preserve">FISCAL </w:t>
      </w:r>
      <w:r w:rsidR="00DC223C">
        <w:t>NOTE</w:t>
      </w:r>
    </w:p>
    <w:p w:rsidR="003C5892" w:rsidRDefault="0085177C"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4062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C3933" w:rsidP="006C3933">
      <w:pPr>
        <w:pStyle w:val="BillNo"/>
      </w:pPr>
      <w:r>
        <w:t>219th LEGISLATURE</w:t>
      </w:r>
    </w:p>
    <w:p w:rsidR="00353325" w:rsidRDefault="00353325" w:rsidP="00353325"/>
    <w:p w:rsidR="006C3933" w:rsidRDefault="006C3933" w:rsidP="006C3933">
      <w:pPr>
        <w:jc w:val="center"/>
      </w:pPr>
      <w:r>
        <w:t>DATED: DECEMBER 2, 2021</w:t>
      </w:r>
    </w:p>
    <w:p w:rsidR="006C3933" w:rsidRDefault="006C3933" w:rsidP="00353325"/>
    <w:p w:rsidR="006C3933" w:rsidRDefault="006C393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D437E" w:rsidP="00515AC5">
            <w:r w:rsidRPr="00841E76">
              <w:t xml:space="preserve">Exempts </w:t>
            </w:r>
            <w:r>
              <w:t xml:space="preserve">honorably discharged </w:t>
            </w:r>
            <w:r w:rsidRPr="00841E76">
              <w:t xml:space="preserve">veterans from payment of </w:t>
            </w:r>
            <w:r>
              <w:t xml:space="preserve">passenger </w:t>
            </w:r>
            <w:r w:rsidRPr="00841E76">
              <w:t>motor vehicle registration fee; requires notification of eligible motorists.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83161" w:rsidP="00D420E7">
            <w:r>
              <w:t>Annual State revenue reduction</w:t>
            </w:r>
            <w:r w:rsidR="006D28D3" w:rsidRPr="007A2BE6">
              <w:t>; Annual State cost increase</w:t>
            </w:r>
            <w:r w:rsidR="00CB04AC">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D437E" w:rsidP="00515AC5">
            <w:r>
              <w:t>New Jersey Motor Vehicle Commission; New Jersey Department of Military and Veterans Affairs.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DC223C" w:rsidRDefault="00DC223C" w:rsidP="00DC223C">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860"/>
        <w:gridCol w:w="1800"/>
        <w:gridCol w:w="1980"/>
        <w:gridCol w:w="1720"/>
        <w:gridCol w:w="15"/>
      </w:tblGrid>
      <w:tr w:rsidR="00B11354" w:rsidTr="00E74C8E">
        <w:trPr>
          <w:trHeight w:val="410"/>
        </w:trPr>
        <w:tc>
          <w:tcPr>
            <w:tcW w:w="9375" w:type="dxa"/>
            <w:gridSpan w:val="5"/>
            <w:tcBorders>
              <w:top w:val="nil"/>
              <w:left w:val="nil"/>
              <w:bottom w:val="nil"/>
              <w:right w:val="nil"/>
            </w:tcBorders>
            <w:vAlign w:val="bottom"/>
          </w:tcPr>
          <w:p w:rsidR="00B11354" w:rsidRPr="00F11982" w:rsidRDefault="00B11354" w:rsidP="00E74C8E">
            <w:pPr>
              <w:tabs>
                <w:tab w:val="left" w:pos="360"/>
                <w:tab w:val="left" w:pos="720"/>
                <w:tab w:val="left" w:pos="1440"/>
                <w:tab w:val="left" w:pos="2160"/>
                <w:tab w:val="left" w:pos="2880"/>
                <w:tab w:val="left" w:pos="3600"/>
                <w:tab w:val="left" w:pos="4320"/>
                <w:tab w:val="left" w:pos="5040"/>
              </w:tabs>
              <w:jc w:val="center"/>
              <w:rPr>
                <w:b/>
              </w:rPr>
            </w:pPr>
            <w:r>
              <w:rPr>
                <w:b/>
              </w:rPr>
              <w:t xml:space="preserve">Executive </w:t>
            </w:r>
            <w:r w:rsidRPr="00F11982">
              <w:rPr>
                <w:b/>
              </w:rPr>
              <w:t>Estimate</w:t>
            </w:r>
          </w:p>
        </w:tc>
      </w:tr>
      <w:tr w:rsidR="00B11354" w:rsidTr="00975792">
        <w:trPr>
          <w:gridAfter w:val="1"/>
          <w:wAfter w:w="15" w:type="dxa"/>
          <w:trHeight w:val="410"/>
        </w:trPr>
        <w:tc>
          <w:tcPr>
            <w:tcW w:w="3860" w:type="dxa"/>
            <w:tcBorders>
              <w:top w:val="single" w:sz="6" w:space="0" w:color="auto"/>
              <w:left w:val="single" w:sz="6" w:space="0" w:color="auto"/>
              <w:bottom w:val="single" w:sz="12" w:space="0" w:color="auto"/>
              <w:right w:val="nil"/>
            </w:tcBorders>
            <w:shd w:val="pct20" w:color="auto" w:fill="auto"/>
            <w:vAlign w:val="bottom"/>
          </w:tcPr>
          <w:p w:rsidR="00B11354" w:rsidRPr="00F11982" w:rsidRDefault="00B11354" w:rsidP="00E74C8E">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00" w:type="dxa"/>
            <w:tcBorders>
              <w:top w:val="single" w:sz="6" w:space="0" w:color="auto"/>
              <w:left w:val="nil"/>
              <w:bottom w:val="single" w:sz="12" w:space="0" w:color="auto"/>
              <w:right w:val="nil"/>
            </w:tcBorders>
            <w:shd w:val="pct20" w:color="auto" w:fill="auto"/>
            <w:vAlign w:val="bottom"/>
          </w:tcPr>
          <w:p w:rsidR="00B11354" w:rsidRPr="00F11982" w:rsidRDefault="006D191A" w:rsidP="00E74C8E">
            <w:pPr>
              <w:tabs>
                <w:tab w:val="left" w:pos="360"/>
                <w:tab w:val="left" w:pos="720"/>
                <w:tab w:val="left" w:pos="1440"/>
                <w:tab w:val="left" w:pos="2160"/>
                <w:tab w:val="left" w:pos="2880"/>
                <w:tab w:val="left" w:pos="3600"/>
                <w:tab w:val="left" w:pos="4320"/>
                <w:tab w:val="left" w:pos="5040"/>
              </w:tabs>
              <w:jc w:val="center"/>
              <w:rPr>
                <w:b/>
              </w:rPr>
            </w:pPr>
            <w:r>
              <w:rPr>
                <w:b/>
                <w:u w:val="single"/>
              </w:rPr>
              <w:t>FY 2022</w:t>
            </w:r>
            <w:r w:rsidR="00B11354" w:rsidRPr="00F11982">
              <w:rPr>
                <w:b/>
              </w:rPr>
              <w:t xml:space="preserve">  </w:t>
            </w:r>
          </w:p>
        </w:tc>
        <w:tc>
          <w:tcPr>
            <w:tcW w:w="1980" w:type="dxa"/>
            <w:tcBorders>
              <w:top w:val="single" w:sz="6" w:space="0" w:color="auto"/>
              <w:left w:val="nil"/>
              <w:bottom w:val="single" w:sz="12" w:space="0" w:color="auto"/>
              <w:right w:val="nil"/>
            </w:tcBorders>
            <w:shd w:val="pct20" w:color="auto" w:fill="auto"/>
            <w:vAlign w:val="bottom"/>
          </w:tcPr>
          <w:p w:rsidR="00B11354" w:rsidRPr="00F11982" w:rsidRDefault="006D191A" w:rsidP="00E74C8E">
            <w:pPr>
              <w:tabs>
                <w:tab w:val="left" w:pos="360"/>
                <w:tab w:val="left" w:pos="720"/>
                <w:tab w:val="left" w:pos="1440"/>
                <w:tab w:val="left" w:pos="2160"/>
                <w:tab w:val="left" w:pos="2880"/>
                <w:tab w:val="left" w:pos="3600"/>
                <w:tab w:val="left" w:pos="4320"/>
                <w:tab w:val="left" w:pos="5040"/>
              </w:tabs>
              <w:jc w:val="center"/>
              <w:rPr>
                <w:b/>
              </w:rPr>
            </w:pPr>
            <w:r>
              <w:rPr>
                <w:b/>
                <w:u w:val="single"/>
              </w:rPr>
              <w:t>FY 2023</w:t>
            </w:r>
          </w:p>
        </w:tc>
        <w:tc>
          <w:tcPr>
            <w:tcW w:w="1720" w:type="dxa"/>
            <w:tcBorders>
              <w:top w:val="single" w:sz="6" w:space="0" w:color="auto"/>
              <w:left w:val="nil"/>
              <w:bottom w:val="single" w:sz="12" w:space="0" w:color="auto"/>
              <w:right w:val="single" w:sz="6" w:space="0" w:color="auto"/>
            </w:tcBorders>
            <w:shd w:val="pct20" w:color="auto" w:fill="auto"/>
            <w:vAlign w:val="bottom"/>
          </w:tcPr>
          <w:p w:rsidR="00B11354" w:rsidRPr="00F11982" w:rsidRDefault="006D191A" w:rsidP="00E74C8E">
            <w:pPr>
              <w:tabs>
                <w:tab w:val="left" w:pos="360"/>
                <w:tab w:val="left" w:pos="720"/>
                <w:tab w:val="left" w:pos="1440"/>
                <w:tab w:val="left" w:pos="2160"/>
                <w:tab w:val="left" w:pos="2880"/>
                <w:tab w:val="left" w:pos="3600"/>
                <w:tab w:val="left" w:pos="4320"/>
                <w:tab w:val="left" w:pos="5040"/>
              </w:tabs>
              <w:jc w:val="center"/>
              <w:rPr>
                <w:b/>
              </w:rPr>
            </w:pPr>
            <w:r>
              <w:rPr>
                <w:b/>
                <w:u w:val="single"/>
              </w:rPr>
              <w:t>FY 202</w:t>
            </w:r>
            <w:r w:rsidR="00A31464">
              <w:rPr>
                <w:b/>
                <w:u w:val="single"/>
              </w:rPr>
              <w:t>4</w:t>
            </w:r>
          </w:p>
        </w:tc>
      </w:tr>
      <w:tr w:rsidR="00B11354" w:rsidTr="00975792">
        <w:trPr>
          <w:gridAfter w:val="1"/>
          <w:wAfter w:w="15" w:type="dxa"/>
          <w:trHeight w:val="410"/>
        </w:trPr>
        <w:tc>
          <w:tcPr>
            <w:tcW w:w="3860" w:type="dxa"/>
            <w:tcBorders>
              <w:top w:val="nil"/>
              <w:left w:val="single" w:sz="6" w:space="0" w:color="auto"/>
              <w:bottom w:val="nil"/>
              <w:right w:val="nil"/>
            </w:tcBorders>
            <w:tcMar>
              <w:bottom w:w="29" w:type="dxa"/>
            </w:tcMar>
            <w:vAlign w:val="bottom"/>
          </w:tcPr>
          <w:p w:rsidR="00B11354" w:rsidRPr="00F11982" w:rsidRDefault="00B11354" w:rsidP="00E74C8E">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Decrease</w:t>
            </w:r>
          </w:p>
        </w:tc>
        <w:tc>
          <w:tcPr>
            <w:tcW w:w="1800" w:type="dxa"/>
            <w:tcBorders>
              <w:top w:val="nil"/>
              <w:left w:val="nil"/>
              <w:bottom w:val="nil"/>
              <w:right w:val="nil"/>
            </w:tcBorders>
            <w:tcMar>
              <w:bottom w:w="29" w:type="dxa"/>
            </w:tcMar>
            <w:vAlign w:val="bottom"/>
          </w:tcPr>
          <w:p w:rsidR="00B11354" w:rsidRPr="00975792" w:rsidRDefault="00B11354" w:rsidP="00975792">
            <w:pPr>
              <w:tabs>
                <w:tab w:val="left" w:pos="360"/>
                <w:tab w:val="left" w:pos="720"/>
                <w:tab w:val="left" w:pos="1440"/>
                <w:tab w:val="left" w:pos="2160"/>
                <w:tab w:val="left" w:pos="2880"/>
                <w:tab w:val="left" w:pos="3600"/>
                <w:tab w:val="left" w:pos="4320"/>
                <w:tab w:val="left" w:pos="5040"/>
              </w:tabs>
              <w:jc w:val="center"/>
            </w:pPr>
            <w:r w:rsidRPr="00975792">
              <w:t>$13.8 million</w:t>
            </w:r>
          </w:p>
        </w:tc>
        <w:tc>
          <w:tcPr>
            <w:tcW w:w="1980" w:type="dxa"/>
            <w:tcBorders>
              <w:top w:val="nil"/>
              <w:left w:val="nil"/>
              <w:bottom w:val="nil"/>
              <w:right w:val="nil"/>
            </w:tcBorders>
            <w:tcMar>
              <w:bottom w:w="29" w:type="dxa"/>
            </w:tcMar>
            <w:vAlign w:val="bottom"/>
          </w:tcPr>
          <w:p w:rsidR="00B11354" w:rsidRPr="00C93B39" w:rsidRDefault="00B11354" w:rsidP="00C93B39">
            <w:pPr>
              <w:tabs>
                <w:tab w:val="left" w:pos="360"/>
                <w:tab w:val="left" w:pos="720"/>
                <w:tab w:val="left" w:pos="1440"/>
                <w:tab w:val="left" w:pos="2160"/>
                <w:tab w:val="left" w:pos="2880"/>
                <w:tab w:val="left" w:pos="3600"/>
                <w:tab w:val="left" w:pos="4320"/>
                <w:tab w:val="left" w:pos="5040"/>
              </w:tabs>
              <w:jc w:val="center"/>
            </w:pPr>
            <w:r w:rsidRPr="00C93B39">
              <w:t>$27.6 million</w:t>
            </w:r>
          </w:p>
        </w:tc>
        <w:tc>
          <w:tcPr>
            <w:tcW w:w="1720" w:type="dxa"/>
            <w:tcBorders>
              <w:top w:val="nil"/>
              <w:left w:val="nil"/>
              <w:bottom w:val="nil"/>
              <w:right w:val="single" w:sz="6" w:space="0" w:color="auto"/>
            </w:tcBorders>
            <w:tcMar>
              <w:bottom w:w="29" w:type="dxa"/>
            </w:tcMar>
            <w:vAlign w:val="bottom"/>
          </w:tcPr>
          <w:p w:rsidR="00B11354" w:rsidRPr="00975792" w:rsidRDefault="00B11354" w:rsidP="00E74C8E">
            <w:pPr>
              <w:tabs>
                <w:tab w:val="left" w:pos="360"/>
                <w:tab w:val="left" w:pos="720"/>
                <w:tab w:val="left" w:pos="1440"/>
                <w:tab w:val="left" w:pos="2160"/>
                <w:tab w:val="left" w:pos="2880"/>
                <w:tab w:val="left" w:pos="3600"/>
                <w:tab w:val="left" w:pos="4320"/>
                <w:tab w:val="left" w:pos="5040"/>
              </w:tabs>
            </w:pPr>
            <w:r w:rsidRPr="00975792">
              <w:t>$27.6 million</w:t>
            </w:r>
          </w:p>
        </w:tc>
      </w:tr>
      <w:tr w:rsidR="00B11354" w:rsidTr="00975792">
        <w:trPr>
          <w:gridAfter w:val="1"/>
          <w:wAfter w:w="15" w:type="dxa"/>
          <w:trHeight w:val="410"/>
        </w:trPr>
        <w:tc>
          <w:tcPr>
            <w:tcW w:w="3860" w:type="dxa"/>
            <w:tcBorders>
              <w:top w:val="nil"/>
              <w:left w:val="single" w:sz="6" w:space="0" w:color="auto"/>
              <w:bottom w:val="nil"/>
              <w:right w:val="nil"/>
            </w:tcBorders>
            <w:tcMar>
              <w:bottom w:w="29" w:type="dxa"/>
            </w:tcMar>
            <w:vAlign w:val="bottom"/>
          </w:tcPr>
          <w:p w:rsidR="00B11354" w:rsidRPr="00F11982" w:rsidRDefault="00B11354" w:rsidP="00E74C8E">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1800" w:type="dxa"/>
            <w:tcBorders>
              <w:top w:val="nil"/>
              <w:left w:val="nil"/>
              <w:bottom w:val="nil"/>
              <w:right w:val="nil"/>
            </w:tcBorders>
            <w:tcMar>
              <w:bottom w:w="29" w:type="dxa"/>
            </w:tcMar>
            <w:vAlign w:val="bottom"/>
          </w:tcPr>
          <w:p w:rsidR="00B11354" w:rsidRPr="00617663" w:rsidRDefault="00B11354" w:rsidP="00E74C8E">
            <w:pPr>
              <w:tabs>
                <w:tab w:val="left" w:pos="360"/>
                <w:tab w:val="left" w:pos="720"/>
                <w:tab w:val="left" w:pos="1440"/>
                <w:tab w:val="left" w:pos="2160"/>
                <w:tab w:val="left" w:pos="2880"/>
                <w:tab w:val="left" w:pos="3600"/>
                <w:tab w:val="left" w:pos="4320"/>
                <w:tab w:val="left" w:pos="5040"/>
              </w:tabs>
              <w:jc w:val="center"/>
              <w:rPr>
                <w:highlight w:val="yellow"/>
              </w:rPr>
            </w:pPr>
            <w:r w:rsidRPr="00617663">
              <w:t>Indeterminate</w:t>
            </w:r>
          </w:p>
        </w:tc>
        <w:tc>
          <w:tcPr>
            <w:tcW w:w="1980" w:type="dxa"/>
            <w:tcBorders>
              <w:top w:val="nil"/>
              <w:left w:val="nil"/>
              <w:bottom w:val="nil"/>
              <w:right w:val="nil"/>
            </w:tcBorders>
            <w:tcMar>
              <w:bottom w:w="29" w:type="dxa"/>
            </w:tcMar>
            <w:vAlign w:val="bottom"/>
          </w:tcPr>
          <w:p w:rsidR="00B11354" w:rsidRPr="00617663" w:rsidRDefault="00B11354" w:rsidP="00E74C8E">
            <w:pPr>
              <w:tabs>
                <w:tab w:val="left" w:pos="360"/>
                <w:tab w:val="left" w:pos="720"/>
                <w:tab w:val="left" w:pos="1440"/>
                <w:tab w:val="left" w:pos="2160"/>
                <w:tab w:val="left" w:pos="2880"/>
                <w:tab w:val="left" w:pos="3600"/>
                <w:tab w:val="left" w:pos="4320"/>
                <w:tab w:val="left" w:pos="5040"/>
              </w:tabs>
              <w:jc w:val="center"/>
            </w:pPr>
            <w:r w:rsidRPr="00617663">
              <w:t>Indeterminate</w:t>
            </w:r>
          </w:p>
        </w:tc>
        <w:tc>
          <w:tcPr>
            <w:tcW w:w="1720" w:type="dxa"/>
            <w:tcBorders>
              <w:top w:val="nil"/>
              <w:left w:val="nil"/>
              <w:bottom w:val="nil"/>
              <w:right w:val="single" w:sz="6" w:space="0" w:color="auto"/>
            </w:tcBorders>
            <w:tcMar>
              <w:bottom w:w="29" w:type="dxa"/>
            </w:tcMar>
            <w:vAlign w:val="bottom"/>
          </w:tcPr>
          <w:p w:rsidR="00B11354" w:rsidRPr="00617663" w:rsidRDefault="00B11354" w:rsidP="00E74C8E">
            <w:pPr>
              <w:tabs>
                <w:tab w:val="left" w:pos="360"/>
                <w:tab w:val="left" w:pos="720"/>
                <w:tab w:val="left" w:pos="1440"/>
                <w:tab w:val="left" w:pos="2160"/>
                <w:tab w:val="left" w:pos="2880"/>
                <w:tab w:val="left" w:pos="3600"/>
                <w:tab w:val="left" w:pos="4320"/>
                <w:tab w:val="left" w:pos="5040"/>
              </w:tabs>
              <w:jc w:val="center"/>
              <w:rPr>
                <w:highlight w:val="yellow"/>
              </w:rPr>
            </w:pPr>
            <w:r w:rsidRPr="00617663">
              <w:t>Indeterminate</w:t>
            </w:r>
          </w:p>
        </w:tc>
      </w:tr>
      <w:tr w:rsidR="00B11354" w:rsidTr="00E74C8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B11354" w:rsidRDefault="00B11354" w:rsidP="00E74C8E">
            <w:pPr>
              <w:tabs>
                <w:tab w:val="left" w:pos="360"/>
                <w:tab w:val="left" w:pos="720"/>
                <w:tab w:val="left" w:pos="1440"/>
                <w:tab w:val="left" w:pos="2160"/>
                <w:tab w:val="left" w:pos="2880"/>
                <w:tab w:val="left" w:pos="3600"/>
                <w:tab w:val="left" w:pos="4320"/>
                <w:tab w:val="left" w:pos="5040"/>
              </w:tabs>
            </w:pPr>
          </w:p>
        </w:tc>
      </w:tr>
    </w:tbl>
    <w:p w:rsidR="00B11354" w:rsidRPr="00975792" w:rsidRDefault="00B11354" w:rsidP="00DC223C">
      <w:pPr>
        <w:tabs>
          <w:tab w:val="left" w:pos="360"/>
          <w:tab w:val="left" w:pos="720"/>
          <w:tab w:val="left" w:pos="1440"/>
          <w:tab w:val="left" w:pos="2160"/>
          <w:tab w:val="left" w:pos="2880"/>
          <w:tab w:val="left" w:pos="3600"/>
          <w:tab w:val="left" w:pos="4320"/>
          <w:tab w:val="left" w:pos="5040"/>
        </w:tabs>
        <w:rPr>
          <w:sz w:val="20"/>
          <w:szCs w:val="20"/>
        </w:rPr>
      </w:pPr>
    </w:p>
    <w:p w:rsidR="00B11354" w:rsidRDefault="00B11354" w:rsidP="00DC223C">
      <w:pPr>
        <w:tabs>
          <w:tab w:val="left" w:pos="360"/>
          <w:tab w:val="left" w:pos="720"/>
          <w:tab w:val="left" w:pos="1440"/>
          <w:tab w:val="left" w:pos="2160"/>
          <w:tab w:val="left" w:pos="2880"/>
          <w:tab w:val="left" w:pos="3600"/>
          <w:tab w:val="left" w:pos="4320"/>
          <w:tab w:val="left" w:pos="5040"/>
        </w:tabs>
      </w:pPr>
    </w:p>
    <w:tbl>
      <w:tblPr>
        <w:tblW w:w="9433" w:type="dxa"/>
        <w:tblInd w:w="100" w:type="dxa"/>
        <w:tblLayout w:type="fixed"/>
        <w:tblCellMar>
          <w:left w:w="100" w:type="dxa"/>
          <w:right w:w="100" w:type="dxa"/>
        </w:tblCellMar>
        <w:tblLook w:val="0000" w:firstRow="0" w:lastRow="0" w:firstColumn="0" w:lastColumn="0" w:noHBand="0" w:noVBand="0"/>
      </w:tblPr>
      <w:tblGrid>
        <w:gridCol w:w="3774"/>
        <w:gridCol w:w="5645"/>
        <w:gridCol w:w="14"/>
      </w:tblGrid>
      <w:tr w:rsidR="00C75246" w:rsidTr="00DC223C">
        <w:trPr>
          <w:trHeight w:val="399"/>
        </w:trPr>
        <w:tc>
          <w:tcPr>
            <w:tcW w:w="9433"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0" w:name="DelTable"/>
            <w:bookmarkEnd w:id="0"/>
            <w:r>
              <w:rPr>
                <w:b/>
              </w:rPr>
              <w:t xml:space="preserve">Office of Legislative Services </w:t>
            </w:r>
            <w:r w:rsidRPr="00F11982">
              <w:rPr>
                <w:b/>
              </w:rPr>
              <w:t>Estimate</w:t>
            </w:r>
          </w:p>
        </w:tc>
      </w:tr>
      <w:tr w:rsidR="00484B69" w:rsidTr="00DC223C">
        <w:trPr>
          <w:gridAfter w:val="1"/>
          <w:wAfter w:w="14" w:type="dxa"/>
          <w:trHeight w:val="399"/>
        </w:trPr>
        <w:tc>
          <w:tcPr>
            <w:tcW w:w="3774" w:type="dxa"/>
            <w:tcBorders>
              <w:top w:val="single" w:sz="6" w:space="0" w:color="auto"/>
              <w:left w:val="single" w:sz="6" w:space="0" w:color="auto"/>
              <w:bottom w:val="single" w:sz="12" w:space="0" w:color="auto"/>
              <w:right w:val="nil"/>
            </w:tcBorders>
            <w:shd w:val="pct20" w:color="auto" w:fill="auto"/>
            <w:vAlign w:val="bottom"/>
          </w:tcPr>
          <w:p w:rsidR="00484B69" w:rsidRPr="00F11982" w:rsidRDefault="00484B69"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645" w:type="dxa"/>
            <w:tcBorders>
              <w:top w:val="single" w:sz="6" w:space="0" w:color="auto"/>
              <w:left w:val="nil"/>
              <w:bottom w:val="single" w:sz="12" w:space="0" w:color="auto"/>
              <w:right w:val="single" w:sz="6" w:space="0" w:color="auto"/>
            </w:tcBorders>
            <w:shd w:val="pct20" w:color="auto" w:fill="auto"/>
            <w:vAlign w:val="bottom"/>
          </w:tcPr>
          <w:p w:rsidR="00484B69" w:rsidRPr="00F11982" w:rsidRDefault="00E92F48" w:rsidP="00DC223C">
            <w:pPr>
              <w:tabs>
                <w:tab w:val="left" w:pos="360"/>
                <w:tab w:val="left" w:pos="720"/>
                <w:tab w:val="left" w:pos="1440"/>
                <w:tab w:val="left" w:pos="2160"/>
                <w:tab w:val="left" w:pos="2880"/>
                <w:tab w:val="left" w:pos="3600"/>
                <w:tab w:val="left" w:pos="4320"/>
                <w:tab w:val="left" w:pos="5040"/>
              </w:tabs>
              <w:ind w:right="360"/>
              <w:jc w:val="center"/>
              <w:rPr>
                <w:b/>
              </w:rPr>
            </w:pPr>
            <w:r>
              <w:rPr>
                <w:b/>
                <w:u w:val="single"/>
              </w:rPr>
              <w:t>Annual</w:t>
            </w:r>
            <w:r w:rsidR="00484B69" w:rsidRPr="00F11982">
              <w:rPr>
                <w:b/>
              </w:rPr>
              <w:t xml:space="preserve">  </w:t>
            </w:r>
          </w:p>
        </w:tc>
      </w:tr>
      <w:tr w:rsidR="00484B69" w:rsidTr="00DC223C">
        <w:trPr>
          <w:gridAfter w:val="1"/>
          <w:wAfter w:w="14" w:type="dxa"/>
          <w:trHeight w:val="399"/>
        </w:trPr>
        <w:tc>
          <w:tcPr>
            <w:tcW w:w="3774" w:type="dxa"/>
            <w:tcBorders>
              <w:top w:val="nil"/>
              <w:left w:val="single" w:sz="6" w:space="0" w:color="auto"/>
              <w:bottom w:val="nil"/>
              <w:right w:val="nil"/>
            </w:tcBorders>
            <w:tcMar>
              <w:bottom w:w="29" w:type="dxa"/>
            </w:tcMar>
            <w:vAlign w:val="bottom"/>
          </w:tcPr>
          <w:p w:rsidR="00484B69" w:rsidRPr="00F11982" w:rsidRDefault="00484B69"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w:t>
            </w:r>
            <w:r w:rsidR="00E92F48">
              <w:rPr>
                <w:b/>
              </w:rPr>
              <w:t>Decrease</w:t>
            </w:r>
          </w:p>
        </w:tc>
        <w:tc>
          <w:tcPr>
            <w:tcW w:w="5645" w:type="dxa"/>
            <w:tcBorders>
              <w:top w:val="nil"/>
              <w:left w:val="nil"/>
              <w:bottom w:val="nil"/>
              <w:right w:val="single" w:sz="6" w:space="0" w:color="auto"/>
            </w:tcBorders>
            <w:tcMar>
              <w:bottom w:w="29" w:type="dxa"/>
            </w:tcMar>
            <w:vAlign w:val="bottom"/>
          </w:tcPr>
          <w:p w:rsidR="00484B69" w:rsidRDefault="006D28D3" w:rsidP="002D7863">
            <w:pPr>
              <w:tabs>
                <w:tab w:val="left" w:pos="360"/>
                <w:tab w:val="left" w:pos="720"/>
                <w:tab w:val="left" w:pos="1440"/>
                <w:tab w:val="left" w:pos="2160"/>
                <w:tab w:val="left" w:pos="2880"/>
                <w:tab w:val="left" w:pos="3600"/>
                <w:tab w:val="left" w:pos="4320"/>
                <w:tab w:val="left" w:pos="5040"/>
              </w:tabs>
              <w:jc w:val="center"/>
            </w:pPr>
            <w:r>
              <w:t>$18.8 million to $37.5 million</w:t>
            </w:r>
          </w:p>
        </w:tc>
      </w:tr>
      <w:tr w:rsidR="003F39FF" w:rsidTr="00DC223C">
        <w:trPr>
          <w:gridAfter w:val="1"/>
          <w:wAfter w:w="14" w:type="dxa"/>
          <w:trHeight w:val="399"/>
        </w:trPr>
        <w:tc>
          <w:tcPr>
            <w:tcW w:w="3774" w:type="dxa"/>
            <w:tcBorders>
              <w:top w:val="nil"/>
              <w:left w:val="single" w:sz="6" w:space="0" w:color="auto"/>
              <w:bottom w:val="nil"/>
              <w:right w:val="nil"/>
            </w:tcBorders>
            <w:tcMar>
              <w:bottom w:w="29" w:type="dxa"/>
            </w:tcMar>
            <w:vAlign w:val="bottom"/>
          </w:tcPr>
          <w:p w:rsidR="003F39FF" w:rsidRPr="00F11982" w:rsidRDefault="003F39FF" w:rsidP="002D7863">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5645" w:type="dxa"/>
            <w:tcBorders>
              <w:top w:val="nil"/>
              <w:left w:val="nil"/>
              <w:bottom w:val="nil"/>
              <w:right w:val="single" w:sz="6" w:space="0" w:color="auto"/>
            </w:tcBorders>
            <w:tcMar>
              <w:bottom w:w="29" w:type="dxa"/>
            </w:tcMar>
            <w:vAlign w:val="bottom"/>
          </w:tcPr>
          <w:p w:rsidR="003F39FF" w:rsidRDefault="006D191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DC223C">
        <w:trPr>
          <w:gridAfter w:val="1"/>
          <w:wAfter w:w="14" w:type="dxa"/>
          <w:trHeight w:hRule="exact" w:val="168"/>
        </w:trPr>
        <w:tc>
          <w:tcPr>
            <w:tcW w:w="9419"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6D191A" w:rsidRDefault="00484B69" w:rsidP="006C3933">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w:t>
      </w:r>
      <w:r w:rsidR="00E92F48">
        <w:t xml:space="preserve"> (OLS)</w:t>
      </w:r>
      <w:r>
        <w:t xml:space="preserve"> </w:t>
      </w:r>
      <w:r w:rsidR="00E14889">
        <w:t>finds</w:t>
      </w:r>
      <w:r w:rsidR="00293C88">
        <w:t xml:space="preserve"> that the Executive estimate for a $27.6 million reduction in annual State revenue falls within the range of plausible outcomes, which the OLS</w:t>
      </w:r>
      <w:r w:rsidR="00E14889">
        <w:t xml:space="preserve"> determines</w:t>
      </w:r>
      <w:r w:rsidR="00293C88">
        <w:t xml:space="preserve"> to be between $18.8 million and $37.5 million</w:t>
      </w:r>
      <w:r w:rsidR="00E14889">
        <w:t xml:space="preserve"> per year</w:t>
      </w:r>
      <w:r w:rsidR="00293C88">
        <w:t xml:space="preserve">.  This revenue loss constitutes between 10 percent and 20 percent of projected FY 2022 passenger vehicle registration fee revenues.  </w:t>
      </w:r>
      <w:r w:rsidR="006D191A">
        <w:t xml:space="preserve">The Executive’s estimate </w:t>
      </w:r>
      <w:r w:rsidR="00395C6E">
        <w:t xml:space="preserve">for a </w:t>
      </w:r>
      <w:r w:rsidR="006D191A">
        <w:t>$13.8 million revenue loss in FY</w:t>
      </w:r>
      <w:r w:rsidR="00395C6E">
        <w:t xml:space="preserve"> 2022 assumes the bill will be in effect for six months of the </w:t>
      </w:r>
      <w:r w:rsidR="00D420E7">
        <w:t xml:space="preserve">current </w:t>
      </w:r>
      <w:r w:rsidR="00395C6E">
        <w:t>fiscal year.</w:t>
      </w:r>
    </w:p>
    <w:p w:rsidR="006C3933" w:rsidRDefault="006C3933" w:rsidP="006C393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6C3933" w:rsidRDefault="00CB04AC" w:rsidP="006C3933">
      <w:pPr>
        <w:pStyle w:val="StyleBulletedSymbolsymbol"/>
        <w:tabs>
          <w:tab w:val="left" w:pos="360"/>
          <w:tab w:val="left" w:pos="720"/>
          <w:tab w:val="left" w:pos="1440"/>
          <w:tab w:val="left" w:pos="2160"/>
          <w:tab w:val="left" w:pos="2880"/>
          <w:tab w:val="left" w:pos="3600"/>
          <w:tab w:val="left" w:pos="4320"/>
          <w:tab w:val="left" w:pos="5040"/>
        </w:tabs>
        <w:spacing w:after="0"/>
        <w:jc w:val="left"/>
      </w:pPr>
      <w:r>
        <w:t>The OLS also concurs with the Executive that the</w:t>
      </w:r>
      <w:r w:rsidR="003C1397">
        <w:t xml:space="preserve"> </w:t>
      </w:r>
      <w:r w:rsidR="00201808">
        <w:t>Motor Vehicle Commission (</w:t>
      </w:r>
      <w:r w:rsidR="003C1397">
        <w:t>MVC</w:t>
      </w:r>
      <w:r w:rsidR="00201808">
        <w:t>)</w:t>
      </w:r>
      <w:r w:rsidR="003C1397">
        <w:t xml:space="preserve"> may incur an indeterminate amount </w:t>
      </w:r>
      <w:r>
        <w:t>of information technol</w:t>
      </w:r>
      <w:r w:rsidR="003C1397">
        <w:t>ogy and admi</w:t>
      </w:r>
      <w:r w:rsidR="00201808">
        <w:t>nistrative costs under the bill, although the OLS expects these costs to be marginal.</w:t>
      </w:r>
      <w:r w:rsidR="006C3933">
        <w:br w:type="page"/>
      </w:r>
    </w:p>
    <w:p w:rsidR="007E5EB3" w:rsidRPr="007A2BE6" w:rsidRDefault="00484B69" w:rsidP="00884175">
      <w:pPr>
        <w:pStyle w:val="StyleBulletedSymbolsymbol"/>
        <w:tabs>
          <w:tab w:val="num" w:pos="360"/>
        </w:tabs>
        <w:spacing w:after="0"/>
      </w:pPr>
      <w:bookmarkStart w:id="1" w:name="_GoBack"/>
      <w:r w:rsidRPr="007A2BE6">
        <w:lastRenderedPageBreak/>
        <w:t xml:space="preserve">The State may </w:t>
      </w:r>
      <w:r w:rsidR="00CB04AC">
        <w:t xml:space="preserve">also </w:t>
      </w:r>
      <w:r w:rsidRPr="007A2BE6">
        <w:t xml:space="preserve">realize nominal costs for the Department of Military and Veteran Affairs to notify veterans of their eligibility for the registration fee exemption and to determine the manner and form of application for the exemption.  </w:t>
      </w:r>
      <w:r w:rsidR="003C3ADA" w:rsidRPr="007A2BE6">
        <w:t>These</w:t>
      </w:r>
      <w:r w:rsidR="009A1AFA">
        <w:t xml:space="preserve"> costs sh</w:t>
      </w:r>
      <w:r w:rsidR="003C3ADA" w:rsidRPr="007A2BE6">
        <w:t>ould</w:t>
      </w:r>
      <w:r w:rsidRPr="007A2BE6">
        <w:t xml:space="preserve"> </w:t>
      </w:r>
      <w:r w:rsidR="003C3ADA" w:rsidRPr="007A2BE6">
        <w:t>be nominal</w:t>
      </w:r>
      <w:r w:rsidRPr="007A2BE6">
        <w:t xml:space="preserve"> due to the existing </w:t>
      </w:r>
      <w:r w:rsidR="00683161">
        <w:t>outreach</w:t>
      </w:r>
      <w:r w:rsidRPr="007A2BE6">
        <w:t xml:space="preserve"> infrastructure in place to communicate with veterans </w:t>
      </w:r>
      <w:r w:rsidR="00683161">
        <w:t xml:space="preserve">living </w:t>
      </w:r>
      <w:r w:rsidRPr="007A2BE6">
        <w:t>in the State</w:t>
      </w:r>
      <w:r w:rsidR="00683161">
        <w:t>.</w:t>
      </w:r>
    </w:p>
    <w:bookmarkEnd w:id="1"/>
    <w:p w:rsidR="00255944" w:rsidRDefault="00255944" w:rsidP="007E5EB3"/>
    <w:p w:rsidR="006C3933" w:rsidRDefault="006C3933"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F39FF" w:rsidRDefault="005D437E" w:rsidP="002D7863">
      <w:pPr>
        <w:tabs>
          <w:tab w:val="left" w:pos="360"/>
          <w:tab w:val="left" w:pos="720"/>
          <w:tab w:val="left" w:pos="1440"/>
          <w:tab w:val="left" w:pos="2160"/>
          <w:tab w:val="left" w:pos="2880"/>
          <w:tab w:val="left" w:pos="3600"/>
          <w:tab w:val="left" w:pos="4320"/>
          <w:tab w:val="left" w:pos="5040"/>
        </w:tabs>
      </w:pPr>
      <w:r>
        <w:tab/>
        <w:t>This bill</w:t>
      </w:r>
      <w:r w:rsidR="003C3ADA">
        <w:t xml:space="preserve"> exempts honorably </w:t>
      </w:r>
      <w:r w:rsidR="003F39FF">
        <w:t>dis</w:t>
      </w:r>
      <w:r w:rsidR="003C3ADA">
        <w:t xml:space="preserve">charged veterans from being charged a fee </w:t>
      </w:r>
      <w:r>
        <w:t xml:space="preserve">for the registration of a </w:t>
      </w:r>
      <w:r w:rsidR="00683161">
        <w:t>passenger vehicle</w:t>
      </w:r>
      <w:r w:rsidR="003F39FF">
        <w:t xml:space="preserve">.  </w:t>
      </w:r>
      <w:r>
        <w:t>The</w:t>
      </w:r>
      <w:r w:rsidR="00683161">
        <w:t xml:space="preserve"> </w:t>
      </w:r>
      <w:r>
        <w:t>bill</w:t>
      </w:r>
      <w:r w:rsidR="00683161">
        <w:t xml:space="preserve"> also</w:t>
      </w:r>
      <w:r>
        <w:t xml:space="preserve"> requires the chief administrator</w:t>
      </w:r>
      <w:r w:rsidR="00B11354">
        <w:t xml:space="preserve"> of the MVC</w:t>
      </w:r>
      <w:r>
        <w:t>, after consultation with t</w:t>
      </w:r>
      <w:r w:rsidRPr="007C4587">
        <w:t>he Adjutant General of the Department of Military and Veterans’ Affairs,</w:t>
      </w:r>
      <w:r>
        <w:t xml:space="preserve"> to determine the manner for application and the documentation that an </w:t>
      </w:r>
      <w:r w:rsidRPr="00944176">
        <w:t xml:space="preserve">honorably discharged </w:t>
      </w:r>
      <w:r>
        <w:t>veteran is to use to provide proof of eligibility for the registration fee exemption.</w:t>
      </w:r>
      <w:r w:rsidR="003F39FF">
        <w:t xml:space="preserve"> </w:t>
      </w:r>
      <w:r w:rsidRPr="00DF11F2">
        <w:t xml:space="preserve"> </w:t>
      </w:r>
      <w:r>
        <w:t>The bill requires the a</w:t>
      </w:r>
      <w:r w:rsidRPr="00AD2661">
        <w:t xml:space="preserve">djutant </w:t>
      </w:r>
      <w:r>
        <w:t>g</w:t>
      </w:r>
      <w:r w:rsidRPr="00AD2661">
        <w:t>eneral</w:t>
      </w:r>
      <w:r>
        <w:t>, in consultation with the chief a</w:t>
      </w:r>
      <w:r w:rsidRPr="00AD2661">
        <w:t>dministrator</w:t>
      </w:r>
      <w:r>
        <w:t>, to</w:t>
      </w:r>
      <w:r w:rsidRPr="00AD2661">
        <w:t xml:space="preserve"> notify all eligible </w:t>
      </w:r>
      <w:r w:rsidR="00683161">
        <w:t>veterans</w:t>
      </w:r>
      <w:r w:rsidR="00683161" w:rsidRPr="00AD2661">
        <w:t xml:space="preserve"> </w:t>
      </w:r>
      <w:r w:rsidRPr="00AD2661">
        <w:t>of the availability of the fee exemption</w:t>
      </w:r>
      <w:r>
        <w:t>.</w:t>
      </w:r>
    </w:p>
    <w:p w:rsidR="00B11354" w:rsidRDefault="00B11354" w:rsidP="002D7863">
      <w:pPr>
        <w:tabs>
          <w:tab w:val="left" w:pos="360"/>
          <w:tab w:val="left" w:pos="720"/>
          <w:tab w:val="left" w:pos="1440"/>
          <w:tab w:val="left" w:pos="2160"/>
          <w:tab w:val="left" w:pos="2880"/>
          <w:tab w:val="left" w:pos="3600"/>
          <w:tab w:val="left" w:pos="4320"/>
          <w:tab w:val="left" w:pos="5040"/>
        </w:tabs>
      </w:pPr>
    </w:p>
    <w:p w:rsidR="00B11354" w:rsidRDefault="00B1135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95C6E" w:rsidRDefault="00255944" w:rsidP="00395C6E">
      <w:pPr>
        <w:tabs>
          <w:tab w:val="left" w:pos="360"/>
          <w:tab w:val="left" w:pos="720"/>
          <w:tab w:val="left" w:pos="1440"/>
          <w:tab w:val="left" w:pos="2160"/>
          <w:tab w:val="left" w:pos="2880"/>
          <w:tab w:val="left" w:pos="3600"/>
          <w:tab w:val="left" w:pos="4320"/>
          <w:tab w:val="left" w:pos="5040"/>
        </w:tabs>
      </w:pPr>
      <w:r>
        <w:tab/>
      </w:r>
      <w:r w:rsidR="00395C6E">
        <w:t>The Executive estimates that the bill would have sizeable</w:t>
      </w:r>
      <w:r w:rsidR="00395C6E" w:rsidRPr="00395C6E">
        <w:t xml:space="preserve"> impacts on the </w:t>
      </w:r>
      <w:r w:rsidR="00395C6E">
        <w:t>MVC</w:t>
      </w:r>
      <w:r w:rsidR="00395C6E" w:rsidRPr="00395C6E">
        <w:t xml:space="preserve"> budget, as well as the State as a whole. </w:t>
      </w:r>
      <w:r w:rsidR="00395C6E">
        <w:t xml:space="preserve"> </w:t>
      </w:r>
      <w:r w:rsidR="002A0D91">
        <w:t xml:space="preserve">The estimate </w:t>
      </w:r>
      <w:r w:rsidR="00395C6E">
        <w:t>finds that the bill will res</w:t>
      </w:r>
      <w:r w:rsidR="002A0D91">
        <w:t>ult in a revenue loss of $13.8</w:t>
      </w:r>
      <w:r w:rsidR="00395C6E">
        <w:t xml:space="preserve"> million in FY 2022, assuming a bill enactment in January 2022, and a</w:t>
      </w:r>
      <w:r w:rsidR="002A0D91">
        <w:t>n annual revenue loss of $27.6</w:t>
      </w:r>
      <w:r w:rsidR="00395C6E">
        <w:t xml:space="preserve"> million thereafter.  This estimate is built off a veteran population of 329,000 in the State each registering 1.5 vehicles at a registration cost of $62.25.  The annual registration cost estimate was built by averaging the four most common weight classes.  The </w:t>
      </w:r>
      <w:r w:rsidR="006F4C0B">
        <w:t>Executive</w:t>
      </w:r>
      <w:r w:rsidR="00395C6E">
        <w:t xml:space="preserve"> notes that the estimate could be low depending on the scope of the legislation and the class of vehicles subject to the bill, noting that if most vehicles are class 8, the revenue loss would increase to $35 million per year.</w:t>
      </w:r>
    </w:p>
    <w:p w:rsidR="00395C6E" w:rsidRDefault="006F4C0B" w:rsidP="00395C6E">
      <w:pPr>
        <w:tabs>
          <w:tab w:val="left" w:pos="360"/>
          <w:tab w:val="left" w:pos="720"/>
          <w:tab w:val="left" w:pos="1440"/>
          <w:tab w:val="left" w:pos="2160"/>
          <w:tab w:val="left" w:pos="2880"/>
          <w:tab w:val="left" w:pos="3600"/>
          <w:tab w:val="left" w:pos="4320"/>
          <w:tab w:val="left" w:pos="5040"/>
        </w:tabs>
      </w:pPr>
      <w:r>
        <w:tab/>
        <w:t>The E</w:t>
      </w:r>
      <w:r w:rsidR="00395C6E">
        <w:t>xecutive estimate note</w:t>
      </w:r>
      <w:r w:rsidR="00201808">
        <w:t>s that the dollar value of the</w:t>
      </w:r>
      <w:r w:rsidR="00395C6E">
        <w:t xml:space="preserve"> estimate does not include impacts to duplicate registration or transfer fees, which could increase the fiscal impact by about $1 million per year if those fees are also exempted.  The estimate identifies information technology development and administrativ</w:t>
      </w:r>
      <w:r w:rsidR="002A0D91">
        <w:t>e costs as a</w:t>
      </w:r>
      <w:r>
        <w:t xml:space="preserve"> cost</w:t>
      </w:r>
      <w:r w:rsidR="00395C6E">
        <w:t xml:space="preserve"> facto</w:t>
      </w:r>
      <w:r w:rsidR="002A0D91">
        <w:t>r in implementing the bill that</w:t>
      </w:r>
      <w:r w:rsidR="00395C6E">
        <w:t xml:space="preserve"> will require further research to quantify.</w:t>
      </w:r>
    </w:p>
    <w:p w:rsidR="00395C6E" w:rsidRDefault="002A0D91" w:rsidP="00395C6E">
      <w:pPr>
        <w:tabs>
          <w:tab w:val="left" w:pos="360"/>
          <w:tab w:val="left" w:pos="720"/>
          <w:tab w:val="left" w:pos="1440"/>
          <w:tab w:val="left" w:pos="2160"/>
          <w:tab w:val="left" w:pos="2880"/>
          <w:tab w:val="left" w:pos="3600"/>
          <w:tab w:val="left" w:pos="4320"/>
          <w:tab w:val="left" w:pos="5040"/>
        </w:tabs>
      </w:pPr>
      <w:r>
        <w:tab/>
        <w:t>The E</w:t>
      </w:r>
      <w:r w:rsidR="00395C6E">
        <w:t>xecutive estimate notes that of the revenues impacted under</w:t>
      </w:r>
      <w:r w:rsidR="006F4C0B">
        <w:t xml:space="preserve"> the bill, roughly 34 percent are</w:t>
      </w:r>
      <w:r w:rsidR="00395C6E">
        <w:t xml:space="preserve"> dedicated</w:t>
      </w:r>
      <w:r>
        <w:t xml:space="preserve"> to the MVC</w:t>
      </w:r>
      <w:r w:rsidR="00395C6E">
        <w:t>, 60 percent to the General Fund, and six percent to other agencies.  It is also noted that $10.29 of every class 7 annual registration fee supports inspection services, and $7 supports operations and security.</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975792">
      <w:pPr>
        <w:tabs>
          <w:tab w:val="left" w:pos="360"/>
          <w:tab w:val="left" w:pos="720"/>
          <w:tab w:val="left" w:pos="1440"/>
          <w:tab w:val="left" w:pos="2160"/>
          <w:tab w:val="left" w:pos="2880"/>
          <w:tab w:val="left" w:pos="3600"/>
          <w:tab w:val="left" w:pos="4320"/>
          <w:tab w:val="left" w:pos="5040"/>
        </w:tabs>
      </w:pPr>
      <w:r>
        <w:tab/>
      </w:r>
      <w:r w:rsidR="00484B69">
        <w:t>The O</w:t>
      </w:r>
      <w:r w:rsidR="00E92F48">
        <w:t>LS</w:t>
      </w:r>
      <w:r w:rsidR="00484B69">
        <w:t xml:space="preserve"> </w:t>
      </w:r>
      <w:r w:rsidR="00E14889">
        <w:t xml:space="preserve">finds that the Executive estimate for a $27.6 million reduction in annual State revenue falls within the range of plausible outcomes, which the OLS determines to be between $18.8 million and $37.5 million per year.  </w:t>
      </w:r>
      <w:r w:rsidR="00567D41">
        <w:t xml:space="preserve">This revenue loss constitutes between 10 percent and 20 percent of projected FY 2022 passenger vehicle registration fee revenues.  </w:t>
      </w:r>
      <w:r w:rsidR="00F244A5">
        <w:t>The estimate</w:t>
      </w:r>
      <w:r w:rsidR="00260EB6">
        <w:t>d range</w:t>
      </w:r>
      <w:r w:rsidR="00F244A5">
        <w:t xml:space="preserve"> is </w:t>
      </w:r>
      <w:r w:rsidR="00683161">
        <w:t>derived from</w:t>
      </w:r>
      <w:r w:rsidR="00F244A5">
        <w:t xml:space="preserve"> a series of assumptions </w:t>
      </w:r>
      <w:r w:rsidR="00683161">
        <w:t xml:space="preserve">regarding </w:t>
      </w:r>
      <w:r w:rsidR="00F244A5">
        <w:t>the size of the</w:t>
      </w:r>
      <w:r w:rsidR="00683161">
        <w:t xml:space="preserve"> honorably discharged</w:t>
      </w:r>
      <w:r w:rsidR="00F244A5">
        <w:t xml:space="preserve"> veteran popul</w:t>
      </w:r>
      <w:r w:rsidR="00683161">
        <w:t>ation</w:t>
      </w:r>
      <w:r w:rsidR="00F244A5">
        <w:t xml:space="preserve">, the </w:t>
      </w:r>
      <w:r w:rsidR="00683161">
        <w:t>passenger vehicle</w:t>
      </w:r>
      <w:r w:rsidR="00F244A5">
        <w:t xml:space="preserve"> ownership</w:t>
      </w:r>
      <w:r w:rsidR="00683161">
        <w:t xml:space="preserve"> characteristics</w:t>
      </w:r>
      <w:r w:rsidR="00F244A5">
        <w:t xml:space="preserve"> of that population, and</w:t>
      </w:r>
      <w:r w:rsidR="00683161">
        <w:t xml:space="preserve"> an estimate of</w:t>
      </w:r>
      <w:r w:rsidR="00F244A5">
        <w:t xml:space="preserve"> the annual</w:t>
      </w:r>
      <w:r w:rsidR="00683161">
        <w:t xml:space="preserve"> average</w:t>
      </w:r>
      <w:r w:rsidR="00F244A5">
        <w:t xml:space="preserve"> registration fee </w:t>
      </w:r>
      <w:r w:rsidR="00683161">
        <w:t>from which the vehicles would be exempt.</w:t>
      </w:r>
      <w:r w:rsidR="00D6103E">
        <w:t xml:space="preserve">  </w:t>
      </w:r>
    </w:p>
    <w:p w:rsidR="00D6103E" w:rsidRDefault="00F244A5" w:rsidP="00DA3848">
      <w:pPr>
        <w:tabs>
          <w:tab w:val="left" w:pos="360"/>
          <w:tab w:val="left" w:pos="720"/>
          <w:tab w:val="left" w:pos="1440"/>
          <w:tab w:val="left" w:pos="2160"/>
          <w:tab w:val="left" w:pos="2880"/>
          <w:tab w:val="left" w:pos="3600"/>
          <w:tab w:val="left" w:pos="4320"/>
          <w:tab w:val="left" w:pos="5040"/>
        </w:tabs>
      </w:pPr>
      <w:r>
        <w:tab/>
      </w:r>
      <w:r w:rsidR="00D6103E" w:rsidRPr="00DA3848">
        <w:t xml:space="preserve">Information </w:t>
      </w:r>
      <w:r w:rsidRPr="00D6103E">
        <w:t xml:space="preserve">from the </w:t>
      </w:r>
      <w:r w:rsidR="003F39FF">
        <w:t>U.S. Department of Veterans Affairs</w:t>
      </w:r>
      <w:r w:rsidRPr="00D6103E">
        <w:t xml:space="preserve"> </w:t>
      </w:r>
      <w:r w:rsidR="003F39FF">
        <w:t>indicate</w:t>
      </w:r>
      <w:r w:rsidR="002E347A">
        <w:t>s</w:t>
      </w:r>
      <w:r w:rsidRPr="00D6103E">
        <w:t xml:space="preserve"> that the State has a veteran population of </w:t>
      </w:r>
      <w:r w:rsidR="00D6103E">
        <w:t xml:space="preserve">about </w:t>
      </w:r>
      <w:r>
        <w:t>350,000</w:t>
      </w:r>
      <w:r w:rsidR="008E1993">
        <w:t xml:space="preserve"> people</w:t>
      </w:r>
      <w:r w:rsidR="00860DDB">
        <w:t>, compar</w:t>
      </w:r>
      <w:r w:rsidR="006F4C0B">
        <w:t>ed</w:t>
      </w:r>
      <w:r w:rsidR="00860DDB">
        <w:t xml:space="preserve"> to the </w:t>
      </w:r>
      <w:r w:rsidR="006F4C0B">
        <w:t xml:space="preserve">Executive </w:t>
      </w:r>
      <w:r w:rsidR="00860DDB">
        <w:t>estimate of 329,000</w:t>
      </w:r>
      <w:r w:rsidR="00201808">
        <w:t xml:space="preserve"> people</w:t>
      </w:r>
      <w:r>
        <w:t xml:space="preserve">.  </w:t>
      </w:r>
      <w:r w:rsidR="00D6103E">
        <w:t>Federa</w:t>
      </w:r>
      <w:r w:rsidR="002E347A">
        <w:t>l data also shows</w:t>
      </w:r>
      <w:r w:rsidR="00D6103E">
        <w:t xml:space="preserve"> that about 80 percent of veterans are honorably disc</w:t>
      </w:r>
      <w:r w:rsidR="008E1993">
        <w:t>harged</w:t>
      </w:r>
      <w:r w:rsidR="00D6103E">
        <w:t>, leaving an eligible veteran population of roughly 280,000</w:t>
      </w:r>
      <w:r w:rsidR="008E1993">
        <w:t xml:space="preserve"> people</w:t>
      </w:r>
      <w:r w:rsidR="00D6103E">
        <w:t>.</w:t>
      </w:r>
      <w:r w:rsidR="001E72BA">
        <w:t xml:space="preserve">  In th</w:t>
      </w:r>
      <w:r w:rsidR="00201808">
        <w:t>e OLS</w:t>
      </w:r>
      <w:r w:rsidR="001E72BA">
        <w:t xml:space="preserve"> analysis, the assumption is that all of these veterans have a driver’s</w:t>
      </w:r>
      <w:r w:rsidR="00D6103E">
        <w:t xml:space="preserve"> </w:t>
      </w:r>
      <w:r w:rsidR="001E72BA">
        <w:t xml:space="preserve">license. </w:t>
      </w:r>
      <w:r w:rsidR="00D6103E">
        <w:t xml:space="preserve"> </w:t>
      </w:r>
      <w:r w:rsidR="00260EB6">
        <w:t>For the lower bound o</w:t>
      </w:r>
      <w:r w:rsidR="002E347A">
        <w:t>f the range</w:t>
      </w:r>
      <w:r w:rsidR="008E1993">
        <w:t xml:space="preserve"> of the estimate</w:t>
      </w:r>
      <w:r w:rsidR="00260EB6">
        <w:t xml:space="preserve">, the OLS assumed </w:t>
      </w:r>
      <w:r w:rsidR="00866611">
        <w:t>one vehicle</w:t>
      </w:r>
      <w:r w:rsidR="00260EB6">
        <w:t xml:space="preserve"> per household would be</w:t>
      </w:r>
      <w:r w:rsidR="002E347A">
        <w:t xml:space="preserve"> registered in the name of a</w:t>
      </w:r>
      <w:r w:rsidR="00866611">
        <w:t xml:space="preserve"> veteran and</w:t>
      </w:r>
      <w:r w:rsidR="00260EB6">
        <w:t xml:space="preserve"> exempt from the registration fee</w:t>
      </w:r>
      <w:r w:rsidR="00866611">
        <w:t xml:space="preserve">.  </w:t>
      </w:r>
      <w:r w:rsidR="008E1993">
        <w:t>For the upper bound, the OLS assumed two vehicles per household would be registered in the name of a veteran and exempt from the fee, or 560,000 vehicles</w:t>
      </w:r>
      <w:r w:rsidR="00860DDB">
        <w:t xml:space="preserve">.  The </w:t>
      </w:r>
      <w:r w:rsidR="006F4C0B">
        <w:t>E</w:t>
      </w:r>
      <w:r w:rsidR="00860DDB">
        <w:t xml:space="preserve">xecutive estimate used the middle of </w:t>
      </w:r>
      <w:r w:rsidR="0090026B">
        <w:t>the</w:t>
      </w:r>
      <w:r w:rsidR="00860DDB">
        <w:t xml:space="preserve"> range, </w:t>
      </w:r>
      <w:r w:rsidR="0090026B">
        <w:t xml:space="preserve">or </w:t>
      </w:r>
      <w:r w:rsidR="00860DDB">
        <w:t>1.5 vehicles</w:t>
      </w:r>
      <w:r w:rsidR="008E1993">
        <w:t xml:space="preserve">.  </w:t>
      </w:r>
      <w:r w:rsidR="00866611">
        <w:t>The OLS also</w:t>
      </w:r>
      <w:r w:rsidR="00260EB6">
        <w:t xml:space="preserve"> calculated a weighted average registration fee of $67 per year</w:t>
      </w:r>
      <w:r w:rsidR="00866611">
        <w:t xml:space="preserve"> based in part on the most common classes of vehicles in the State</w:t>
      </w:r>
      <w:r w:rsidR="002E347A">
        <w:t xml:space="preserve"> and the associated registration fee</w:t>
      </w:r>
      <w:r w:rsidR="00D655B0">
        <w:t>s</w:t>
      </w:r>
      <w:r w:rsidR="00860DDB">
        <w:t xml:space="preserve">, compared to a flat average used by the </w:t>
      </w:r>
      <w:r w:rsidR="006F4C0B">
        <w:t>E</w:t>
      </w:r>
      <w:r w:rsidR="00860DDB">
        <w:t>xecutive which generated an average fee of $62</w:t>
      </w:r>
      <w:r w:rsidR="00260EB6">
        <w:t>.</w:t>
      </w:r>
      <w:r w:rsidR="00860DDB">
        <w:t>25.</w:t>
      </w:r>
      <w:r w:rsidR="00260EB6">
        <w:t xml:space="preserve">  Th</w:t>
      </w:r>
      <w:r w:rsidR="00BB5A81">
        <w:t>e OLS</w:t>
      </w:r>
      <w:r w:rsidR="00260EB6">
        <w:t xml:space="preserve"> scenario yields an annual reven</w:t>
      </w:r>
      <w:r w:rsidR="008E1993">
        <w:t xml:space="preserve">ue loss between </w:t>
      </w:r>
      <w:r w:rsidR="00683161">
        <w:t>$18.8 million</w:t>
      </w:r>
      <w:r w:rsidR="008E1993">
        <w:t xml:space="preserve"> and $37.5 million, representing a reduction between 10 percent and 20 percent of total motor vehicle registration fee revenue projected for FY </w:t>
      </w:r>
      <w:r w:rsidR="008E1993" w:rsidRPr="00975792">
        <w:t>2022.</w:t>
      </w:r>
      <w:r w:rsidR="00860DDB" w:rsidRPr="00975792">
        <w:t xml:space="preserve">  </w:t>
      </w:r>
    </w:p>
    <w:p w:rsidR="00866611" w:rsidRDefault="00866611" w:rsidP="002D7863">
      <w:pPr>
        <w:tabs>
          <w:tab w:val="left" w:pos="360"/>
          <w:tab w:val="left" w:pos="720"/>
          <w:tab w:val="left" w:pos="1440"/>
          <w:tab w:val="left" w:pos="2160"/>
          <w:tab w:val="left" w:pos="2880"/>
          <w:tab w:val="left" w:pos="3600"/>
          <w:tab w:val="left" w:pos="4320"/>
          <w:tab w:val="left" w:pos="5040"/>
        </w:tabs>
      </w:pPr>
      <w:r>
        <w:tab/>
      </w:r>
      <w:r w:rsidR="001E72BA">
        <w:t>In forming the upper and lower bou</w:t>
      </w:r>
      <w:r w:rsidR="002E347A">
        <w:t>nds of this</w:t>
      </w:r>
      <w:r w:rsidR="001E72BA">
        <w:t xml:space="preserve"> estimate, it was assumed that </w:t>
      </w:r>
      <w:r w:rsidR="00215FD5">
        <w:t>either one or two vehicles</w:t>
      </w:r>
      <w:r w:rsidR="001E72BA">
        <w:t xml:space="preserve"> </w:t>
      </w:r>
      <w:r w:rsidR="00215FD5">
        <w:t>per household would be registered in a veteran’s name.  However, some households could have three or more such vehicles while others will have none.  For instance, about 35% of the veteran population is over the age of 75.  Within this cohort, driving and vehicle ownership begins to decline and decline</w:t>
      </w:r>
      <w:r w:rsidR="00C92F33">
        <w:t>s</w:t>
      </w:r>
      <w:r w:rsidR="00215FD5">
        <w:t xml:space="preserve"> further with age so it is reasonable to assume that at least some of these veterans </w:t>
      </w:r>
      <w:r w:rsidR="00823D8B">
        <w:t>would register fewer vehicles or none at all</w:t>
      </w:r>
      <w:r w:rsidR="002E347A">
        <w:t>, which</w:t>
      </w:r>
      <w:r w:rsidR="00C92F33">
        <w:t xml:space="preserve"> would skew the fiscal impact toward the lower end of the range</w:t>
      </w:r>
      <w:r w:rsidR="00215FD5">
        <w:t>.  Moreover, some in the veteran population may be disabled or otherwise unable to drive</w:t>
      </w:r>
      <w:r w:rsidR="00C92F33">
        <w:t xml:space="preserve">, which would further lessen the fiscal impact of the bill.  </w:t>
      </w:r>
      <w:r w:rsidR="00823D8B">
        <w:t>Conversely</w:t>
      </w:r>
      <w:r w:rsidR="00C92F33">
        <w:t xml:space="preserve">, the bill incentivizes the registration of vehicles in a veteran’s name and so it is reasonable to assume that some households will choose to register all vehicles in that person’s name, which would skew the fiscal impact toward the higher end of the estimate.   These and other factors will ultimately determine where on the range the annual fiscal impact </w:t>
      </w:r>
      <w:r w:rsidR="002E347A">
        <w:t xml:space="preserve">of the bill </w:t>
      </w:r>
      <w:r w:rsidR="00C92F33">
        <w:t>will fall.</w:t>
      </w:r>
    </w:p>
    <w:p w:rsidR="0026676B" w:rsidRDefault="00B20E2E" w:rsidP="00C84507">
      <w:r>
        <w:t xml:space="preserve">      </w:t>
      </w:r>
      <w:r w:rsidR="00C84507">
        <w:t xml:space="preserve">The bill </w:t>
      </w:r>
      <w:r w:rsidR="002E347A">
        <w:t xml:space="preserve">also </w:t>
      </w:r>
      <w:r w:rsidR="00C84507">
        <w:t>requires the Department of Military and Veterans Affairs to establish a documentation standard for veterans to provide in order to claim this registration exemption and to ensure that the State</w:t>
      </w:r>
      <w:r>
        <w:t>’s</w:t>
      </w:r>
      <w:r w:rsidR="00C84507">
        <w:t xml:space="preserve"> veteran population is informed about </w:t>
      </w:r>
      <w:r w:rsidR="00C92F33">
        <w:t>it</w:t>
      </w:r>
      <w:r w:rsidR="00C84507">
        <w:t xml:space="preserve">.  There is already </w:t>
      </w:r>
      <w:r w:rsidR="00823D8B">
        <w:t>an outreach</w:t>
      </w:r>
      <w:r w:rsidR="00C84507">
        <w:t xml:space="preserve"> infrastructure</w:t>
      </w:r>
      <w:r w:rsidR="00D655B0">
        <w:t xml:space="preserve"> in place</w:t>
      </w:r>
      <w:r w:rsidR="00823D8B">
        <w:t xml:space="preserve"> through Veterans Service Offices and other</w:t>
      </w:r>
      <w:r>
        <w:t xml:space="preserve"> departmental</w:t>
      </w:r>
      <w:r w:rsidR="00823D8B">
        <w:t xml:space="preserve"> outreach programs</w:t>
      </w:r>
      <w:r w:rsidR="00C84507">
        <w:t xml:space="preserve"> for the State to communicate with </w:t>
      </w:r>
      <w:r w:rsidR="00823D8B">
        <w:t>the</w:t>
      </w:r>
      <w:r w:rsidR="00C84507">
        <w:t xml:space="preserve"> veteran population</w:t>
      </w:r>
      <w:r w:rsidR="00823D8B">
        <w:t xml:space="preserve">.  </w:t>
      </w:r>
      <w:r w:rsidR="00C84507">
        <w:t xml:space="preserve">It is likely that </w:t>
      </w:r>
      <w:r w:rsidR="00823D8B">
        <w:t xml:space="preserve">the outreach efforts of the registration fee exemption will be administered in the same manner as other federal and State </w:t>
      </w:r>
      <w:r w:rsidR="00F8436A">
        <w:t>benefit programs at a marginal cost to the department.</w:t>
      </w:r>
      <w:r w:rsidR="0026676B">
        <w:t xml:space="preserve">  </w:t>
      </w:r>
    </w:p>
    <w:p w:rsidR="00F8436A" w:rsidRDefault="00201808" w:rsidP="00975792">
      <w:r>
        <w:t xml:space="preserve">      </w:t>
      </w:r>
      <w:r w:rsidR="0026676B">
        <w:t xml:space="preserve">The </w:t>
      </w:r>
      <w:r>
        <w:t>MVC</w:t>
      </w:r>
      <w:r w:rsidR="0026676B">
        <w:t xml:space="preserve"> notes an expected increase in information technology development and administrative costs will likely be required under the bill.  The nature of those costs are unclear, given that establishing eligibility for the exemption will likely simply involve displaying the appropriate federally issued credential at the time of registration, which can then be recorded in the commission</w:t>
      </w:r>
      <w:r w:rsidR="00BB1567">
        <w:t>’s</w:t>
      </w:r>
      <w:r w:rsidR="0026676B">
        <w:t xml:space="preserve"> system as a new class of registration fee exempt vehicle.  </w:t>
      </w:r>
      <w:r w:rsidR="00BB1567">
        <w:t xml:space="preserve">The </w:t>
      </w:r>
      <w:r w:rsidR="0026676B">
        <w:t>OLS does not expect such a change to commission operations to have a significant impact on operating costs or for implementation.</w:t>
      </w:r>
    </w:p>
    <w:p w:rsidR="00F8436A" w:rsidRDefault="00F8436A" w:rsidP="00C84507"/>
    <w:p w:rsidR="00F8436A" w:rsidRDefault="00F8436A" w:rsidP="00C84507"/>
    <w:tbl>
      <w:tblPr>
        <w:tblW w:w="9360" w:type="dxa"/>
        <w:tblInd w:w="120" w:type="dxa"/>
        <w:tblLayout w:type="fixed"/>
        <w:tblCellMar>
          <w:left w:w="120" w:type="dxa"/>
          <w:right w:w="120" w:type="dxa"/>
        </w:tblCellMar>
        <w:tblLook w:val="04A0" w:firstRow="1" w:lastRow="0" w:firstColumn="1" w:lastColumn="0" w:noHBand="0" w:noVBand="1"/>
      </w:tblPr>
      <w:tblGrid>
        <w:gridCol w:w="1260"/>
        <w:gridCol w:w="8100"/>
      </w:tblGrid>
      <w:tr w:rsidR="00C84507" w:rsidTr="006C3933">
        <w:trPr>
          <w:trHeight w:val="403"/>
        </w:trPr>
        <w:tc>
          <w:tcPr>
            <w:tcW w:w="1260" w:type="dxa"/>
            <w:hideMark/>
          </w:tcPr>
          <w:p w:rsidR="00C84507" w:rsidRDefault="00C84507" w:rsidP="00C04C3F">
            <w:pPr>
              <w:pStyle w:val="10pointItalics"/>
              <w:rPr>
                <w:sz w:val="24"/>
              </w:rPr>
            </w:pPr>
            <w:r>
              <w:t>Section:</w:t>
            </w:r>
          </w:p>
        </w:tc>
        <w:tc>
          <w:tcPr>
            <w:tcW w:w="8100" w:type="dxa"/>
            <w:hideMark/>
          </w:tcPr>
          <w:p w:rsidR="00C84507" w:rsidRDefault="00C84507" w:rsidP="00C04C3F">
            <w:pPr>
              <w:pStyle w:val="10pointItalics"/>
              <w:rPr>
                <w:sz w:val="24"/>
              </w:rPr>
            </w:pPr>
            <w:bookmarkStart w:id="2" w:name="Section"/>
            <w:r>
              <w:rPr>
                <w:szCs w:val="20"/>
              </w:rPr>
              <w:t>Authorities, Utilities, Transportation and Communications</w:t>
            </w:r>
            <w:bookmarkEnd w:id="2"/>
          </w:p>
        </w:tc>
      </w:tr>
      <w:tr w:rsidR="00C84507" w:rsidTr="006C3933">
        <w:trPr>
          <w:trHeight w:val="403"/>
        </w:trPr>
        <w:tc>
          <w:tcPr>
            <w:tcW w:w="1260" w:type="dxa"/>
            <w:hideMark/>
          </w:tcPr>
          <w:p w:rsidR="00C84507" w:rsidRDefault="00C84507" w:rsidP="00C04C3F">
            <w:pPr>
              <w:pStyle w:val="10pointItalics"/>
              <w:rPr>
                <w:sz w:val="24"/>
              </w:rPr>
            </w:pPr>
            <w:r>
              <w:t>Analyst:</w:t>
            </w:r>
          </w:p>
        </w:tc>
        <w:tc>
          <w:tcPr>
            <w:tcW w:w="8100" w:type="dxa"/>
            <w:hideMark/>
          </w:tcPr>
          <w:p w:rsidR="00C84507" w:rsidRDefault="00C84507" w:rsidP="00C04C3F">
            <w:pPr>
              <w:pStyle w:val="10pointItalics"/>
            </w:pPr>
            <w:bookmarkStart w:id="3" w:name="UserFullName"/>
            <w:bookmarkEnd w:id="3"/>
            <w:r>
              <w:t>Patrick Brennan</w:t>
            </w:r>
          </w:p>
          <w:p w:rsidR="00C84507" w:rsidRDefault="00C84507" w:rsidP="00C04C3F">
            <w:pPr>
              <w:pStyle w:val="10pointItalics"/>
              <w:rPr>
                <w:sz w:val="24"/>
              </w:rPr>
            </w:pPr>
            <w:r>
              <w:t>Principal Fiscal Analyst</w:t>
            </w:r>
          </w:p>
        </w:tc>
      </w:tr>
      <w:tr w:rsidR="00C84507" w:rsidTr="006C3933">
        <w:trPr>
          <w:trHeight w:val="495"/>
        </w:trPr>
        <w:tc>
          <w:tcPr>
            <w:tcW w:w="1260" w:type="dxa"/>
            <w:tcMar>
              <w:top w:w="72" w:type="dxa"/>
              <w:left w:w="120" w:type="dxa"/>
              <w:bottom w:w="0" w:type="dxa"/>
              <w:right w:w="120" w:type="dxa"/>
            </w:tcMar>
            <w:hideMark/>
          </w:tcPr>
          <w:p w:rsidR="00C84507" w:rsidRDefault="00C84507" w:rsidP="00C04C3F">
            <w:pPr>
              <w:pStyle w:val="10pointItalics"/>
              <w:rPr>
                <w:sz w:val="24"/>
              </w:rPr>
            </w:pPr>
            <w:r>
              <w:t>Approved:</w:t>
            </w:r>
          </w:p>
        </w:tc>
        <w:tc>
          <w:tcPr>
            <w:tcW w:w="8100" w:type="dxa"/>
            <w:tcMar>
              <w:top w:w="72" w:type="dxa"/>
              <w:left w:w="120" w:type="dxa"/>
              <w:bottom w:w="0" w:type="dxa"/>
              <w:right w:w="120" w:type="dxa"/>
            </w:tcMar>
            <w:hideMark/>
          </w:tcPr>
          <w:p w:rsidR="00C84507" w:rsidRDefault="00C84507" w:rsidP="00C04C3F">
            <w:pPr>
              <w:pStyle w:val="10pointItalics"/>
            </w:pPr>
            <w:r>
              <w:t>Thomas Koenig</w:t>
            </w:r>
          </w:p>
          <w:p w:rsidR="00C84507" w:rsidRDefault="00C84507" w:rsidP="00C04C3F">
            <w:pPr>
              <w:pStyle w:val="10pointItalics"/>
              <w:rPr>
                <w:sz w:val="24"/>
              </w:rPr>
            </w:pPr>
            <w:r>
              <w:t>Legislative Budget and Finance Officer</w:t>
            </w:r>
          </w:p>
        </w:tc>
      </w:tr>
    </w:tbl>
    <w:p w:rsidR="00EF17BC" w:rsidRDefault="0085177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5177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BEF" w:rsidRDefault="006A5BEF">
      <w:r>
        <w:separator/>
      </w:r>
    </w:p>
  </w:endnote>
  <w:endnote w:type="continuationSeparator" w:id="0">
    <w:p w:rsidR="006A5BEF" w:rsidRDefault="006A5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A19C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9995339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BEF" w:rsidRDefault="006A5BEF">
      <w:r>
        <w:separator/>
      </w:r>
    </w:p>
  </w:footnote>
  <w:footnote w:type="continuationSeparator" w:id="0">
    <w:p w:rsidR="006A5BEF" w:rsidRDefault="006A5B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77C" w:rsidRDefault="0085177C" w:rsidP="0085177C">
    <w:pPr>
      <w:pStyle w:val="Header"/>
      <w:jc w:val="center"/>
    </w:pPr>
    <w:r>
      <w:t>F</w:t>
    </w:r>
    <w:r w:rsidR="00DC223C">
      <w:t>N</w:t>
    </w:r>
    <w:r>
      <w:t xml:space="preserve"> to S4062 </w:t>
    </w:r>
  </w:p>
  <w:p w:rsidR="0085177C" w:rsidRDefault="0085177C" w:rsidP="0085177C">
    <w:pPr>
      <w:pStyle w:val="Header"/>
      <w:jc w:val="center"/>
    </w:pPr>
    <w:r>
      <w:fldChar w:fldCharType="begin"/>
    </w:r>
    <w:r>
      <w:instrText xml:space="preserve"> PAGE  \* MERGEFORMAT </w:instrText>
    </w:r>
    <w:r>
      <w:fldChar w:fldCharType="separate"/>
    </w:r>
    <w:r w:rsidR="002A19C0">
      <w:rPr>
        <w:noProof/>
      </w:rPr>
      <w:t>2</w:t>
    </w:r>
    <w:r>
      <w:fldChar w:fldCharType="end"/>
    </w:r>
  </w:p>
  <w:p w:rsidR="0085177C" w:rsidRDefault="0085177C" w:rsidP="0085177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77C"/>
    <w:rsid w:val="00011EDD"/>
    <w:rsid w:val="00013973"/>
    <w:rsid w:val="000333DF"/>
    <w:rsid w:val="00036860"/>
    <w:rsid w:val="00042B0B"/>
    <w:rsid w:val="000629F9"/>
    <w:rsid w:val="000701B0"/>
    <w:rsid w:val="00070F62"/>
    <w:rsid w:val="000820F8"/>
    <w:rsid w:val="0008691D"/>
    <w:rsid w:val="000933C1"/>
    <w:rsid w:val="00095290"/>
    <w:rsid w:val="000A16EC"/>
    <w:rsid w:val="000B1CCB"/>
    <w:rsid w:val="000C074D"/>
    <w:rsid w:val="000C50EA"/>
    <w:rsid w:val="000E08DD"/>
    <w:rsid w:val="000E17DB"/>
    <w:rsid w:val="000F0A12"/>
    <w:rsid w:val="000F231D"/>
    <w:rsid w:val="000F278B"/>
    <w:rsid w:val="000F2B57"/>
    <w:rsid w:val="0010604D"/>
    <w:rsid w:val="001106B5"/>
    <w:rsid w:val="00114591"/>
    <w:rsid w:val="00115411"/>
    <w:rsid w:val="001223E7"/>
    <w:rsid w:val="00125D26"/>
    <w:rsid w:val="00142AE8"/>
    <w:rsid w:val="00145CE4"/>
    <w:rsid w:val="00157AED"/>
    <w:rsid w:val="00172CF5"/>
    <w:rsid w:val="00173D5B"/>
    <w:rsid w:val="00187330"/>
    <w:rsid w:val="001907A1"/>
    <w:rsid w:val="00193C26"/>
    <w:rsid w:val="00194789"/>
    <w:rsid w:val="00197240"/>
    <w:rsid w:val="001B1D4B"/>
    <w:rsid w:val="001B2BA9"/>
    <w:rsid w:val="001B64AE"/>
    <w:rsid w:val="001D0C90"/>
    <w:rsid w:val="001D192D"/>
    <w:rsid w:val="001D3FD4"/>
    <w:rsid w:val="001E72BA"/>
    <w:rsid w:val="001F4F8B"/>
    <w:rsid w:val="00200EDD"/>
    <w:rsid w:val="00201322"/>
    <w:rsid w:val="00201808"/>
    <w:rsid w:val="00203C53"/>
    <w:rsid w:val="00210E60"/>
    <w:rsid w:val="002116FF"/>
    <w:rsid w:val="00212908"/>
    <w:rsid w:val="00213CFF"/>
    <w:rsid w:val="00215FD5"/>
    <w:rsid w:val="00220166"/>
    <w:rsid w:val="00231207"/>
    <w:rsid w:val="00234802"/>
    <w:rsid w:val="00241AAD"/>
    <w:rsid w:val="002427E6"/>
    <w:rsid w:val="002451F9"/>
    <w:rsid w:val="002518C8"/>
    <w:rsid w:val="00255944"/>
    <w:rsid w:val="00260EB6"/>
    <w:rsid w:val="00261FC7"/>
    <w:rsid w:val="0026676B"/>
    <w:rsid w:val="00275600"/>
    <w:rsid w:val="00290E57"/>
    <w:rsid w:val="0029229D"/>
    <w:rsid w:val="00293C88"/>
    <w:rsid w:val="002977FC"/>
    <w:rsid w:val="002A0D91"/>
    <w:rsid w:val="002A15C4"/>
    <w:rsid w:val="002A19C0"/>
    <w:rsid w:val="002A2F18"/>
    <w:rsid w:val="002A5C0C"/>
    <w:rsid w:val="002B3E07"/>
    <w:rsid w:val="002D4307"/>
    <w:rsid w:val="002D7381"/>
    <w:rsid w:val="002D7863"/>
    <w:rsid w:val="002E347A"/>
    <w:rsid w:val="002E3A30"/>
    <w:rsid w:val="002F5E01"/>
    <w:rsid w:val="00317C75"/>
    <w:rsid w:val="00321DEF"/>
    <w:rsid w:val="003263F2"/>
    <w:rsid w:val="00326E3B"/>
    <w:rsid w:val="003307F2"/>
    <w:rsid w:val="003321A7"/>
    <w:rsid w:val="00335BC0"/>
    <w:rsid w:val="003376CB"/>
    <w:rsid w:val="00340CD4"/>
    <w:rsid w:val="00353325"/>
    <w:rsid w:val="0035698A"/>
    <w:rsid w:val="00362F0A"/>
    <w:rsid w:val="003646BC"/>
    <w:rsid w:val="00366943"/>
    <w:rsid w:val="00370174"/>
    <w:rsid w:val="003772F6"/>
    <w:rsid w:val="00381FCA"/>
    <w:rsid w:val="003828C4"/>
    <w:rsid w:val="00385E41"/>
    <w:rsid w:val="00386200"/>
    <w:rsid w:val="00395C6E"/>
    <w:rsid w:val="003A5E75"/>
    <w:rsid w:val="003B66B0"/>
    <w:rsid w:val="003B786D"/>
    <w:rsid w:val="003C1397"/>
    <w:rsid w:val="003C23FD"/>
    <w:rsid w:val="003C3ADA"/>
    <w:rsid w:val="003C5892"/>
    <w:rsid w:val="003C6FD3"/>
    <w:rsid w:val="003D4453"/>
    <w:rsid w:val="003E1FE7"/>
    <w:rsid w:val="003F39FF"/>
    <w:rsid w:val="00407C9E"/>
    <w:rsid w:val="0041022E"/>
    <w:rsid w:val="004149CC"/>
    <w:rsid w:val="00426C11"/>
    <w:rsid w:val="00454379"/>
    <w:rsid w:val="00484B69"/>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7D41"/>
    <w:rsid w:val="00570997"/>
    <w:rsid w:val="00577AA8"/>
    <w:rsid w:val="005850CE"/>
    <w:rsid w:val="00594C2D"/>
    <w:rsid w:val="005A6D23"/>
    <w:rsid w:val="005C1947"/>
    <w:rsid w:val="005C1E9D"/>
    <w:rsid w:val="005D437E"/>
    <w:rsid w:val="005E03E7"/>
    <w:rsid w:val="005E75AB"/>
    <w:rsid w:val="00601F73"/>
    <w:rsid w:val="00625D15"/>
    <w:rsid w:val="00651611"/>
    <w:rsid w:val="00653AE2"/>
    <w:rsid w:val="006671C7"/>
    <w:rsid w:val="00683161"/>
    <w:rsid w:val="006917CF"/>
    <w:rsid w:val="00692BD4"/>
    <w:rsid w:val="006A5BEF"/>
    <w:rsid w:val="006B22F3"/>
    <w:rsid w:val="006B2FD5"/>
    <w:rsid w:val="006B5C2D"/>
    <w:rsid w:val="006B6C16"/>
    <w:rsid w:val="006C3933"/>
    <w:rsid w:val="006D191A"/>
    <w:rsid w:val="006D28D3"/>
    <w:rsid w:val="006D6F6C"/>
    <w:rsid w:val="006F239A"/>
    <w:rsid w:val="006F3934"/>
    <w:rsid w:val="006F4C0B"/>
    <w:rsid w:val="006F505D"/>
    <w:rsid w:val="006F7203"/>
    <w:rsid w:val="007161DD"/>
    <w:rsid w:val="00722072"/>
    <w:rsid w:val="00722AEF"/>
    <w:rsid w:val="00732DE1"/>
    <w:rsid w:val="00737A6C"/>
    <w:rsid w:val="00743F01"/>
    <w:rsid w:val="00744AE4"/>
    <w:rsid w:val="0074664F"/>
    <w:rsid w:val="00746E18"/>
    <w:rsid w:val="00763D60"/>
    <w:rsid w:val="007833B1"/>
    <w:rsid w:val="00787AD1"/>
    <w:rsid w:val="007920AC"/>
    <w:rsid w:val="007A0F7E"/>
    <w:rsid w:val="007A2BE6"/>
    <w:rsid w:val="007A42C5"/>
    <w:rsid w:val="007A65A1"/>
    <w:rsid w:val="007B1FCF"/>
    <w:rsid w:val="007C4620"/>
    <w:rsid w:val="007E337B"/>
    <w:rsid w:val="007E5EB3"/>
    <w:rsid w:val="0080233D"/>
    <w:rsid w:val="00804E41"/>
    <w:rsid w:val="00811BC0"/>
    <w:rsid w:val="008231E8"/>
    <w:rsid w:val="00823D8B"/>
    <w:rsid w:val="008266B7"/>
    <w:rsid w:val="0085177C"/>
    <w:rsid w:val="00854B89"/>
    <w:rsid w:val="00855555"/>
    <w:rsid w:val="00860DDB"/>
    <w:rsid w:val="00866611"/>
    <w:rsid w:val="00867E73"/>
    <w:rsid w:val="00881BED"/>
    <w:rsid w:val="00881EF3"/>
    <w:rsid w:val="00883E7C"/>
    <w:rsid w:val="00884175"/>
    <w:rsid w:val="00886261"/>
    <w:rsid w:val="00894971"/>
    <w:rsid w:val="008C0341"/>
    <w:rsid w:val="008C69B2"/>
    <w:rsid w:val="008D5731"/>
    <w:rsid w:val="008E1349"/>
    <w:rsid w:val="008E1993"/>
    <w:rsid w:val="008E20C1"/>
    <w:rsid w:val="008F09CF"/>
    <w:rsid w:val="008F243C"/>
    <w:rsid w:val="008F2EFA"/>
    <w:rsid w:val="0090026B"/>
    <w:rsid w:val="00937A78"/>
    <w:rsid w:val="00947B1E"/>
    <w:rsid w:val="00953C08"/>
    <w:rsid w:val="00973C29"/>
    <w:rsid w:val="00975792"/>
    <w:rsid w:val="00976E10"/>
    <w:rsid w:val="00991247"/>
    <w:rsid w:val="0099269E"/>
    <w:rsid w:val="009A1AFA"/>
    <w:rsid w:val="009B14F4"/>
    <w:rsid w:val="009B1B0D"/>
    <w:rsid w:val="009B1C3D"/>
    <w:rsid w:val="009B32DD"/>
    <w:rsid w:val="009B6248"/>
    <w:rsid w:val="009C005A"/>
    <w:rsid w:val="009D4BC2"/>
    <w:rsid w:val="009D5E5F"/>
    <w:rsid w:val="009D62B4"/>
    <w:rsid w:val="009E1448"/>
    <w:rsid w:val="009E3E41"/>
    <w:rsid w:val="009E6D12"/>
    <w:rsid w:val="00A05A06"/>
    <w:rsid w:val="00A164F2"/>
    <w:rsid w:val="00A26FCF"/>
    <w:rsid w:val="00A31464"/>
    <w:rsid w:val="00A31FA5"/>
    <w:rsid w:val="00A34F8C"/>
    <w:rsid w:val="00A359DA"/>
    <w:rsid w:val="00A37886"/>
    <w:rsid w:val="00A63176"/>
    <w:rsid w:val="00A70D0C"/>
    <w:rsid w:val="00A9794C"/>
    <w:rsid w:val="00AA1F82"/>
    <w:rsid w:val="00AB0440"/>
    <w:rsid w:val="00AB3182"/>
    <w:rsid w:val="00AC3FC5"/>
    <w:rsid w:val="00AD340B"/>
    <w:rsid w:val="00AE3966"/>
    <w:rsid w:val="00AE69BF"/>
    <w:rsid w:val="00AF11C6"/>
    <w:rsid w:val="00B002D1"/>
    <w:rsid w:val="00B03C25"/>
    <w:rsid w:val="00B057F1"/>
    <w:rsid w:val="00B11354"/>
    <w:rsid w:val="00B143A9"/>
    <w:rsid w:val="00B20E2E"/>
    <w:rsid w:val="00B4569E"/>
    <w:rsid w:val="00B45879"/>
    <w:rsid w:val="00B551EB"/>
    <w:rsid w:val="00B55F3D"/>
    <w:rsid w:val="00B67313"/>
    <w:rsid w:val="00B84AC8"/>
    <w:rsid w:val="00B90F8C"/>
    <w:rsid w:val="00B91C0B"/>
    <w:rsid w:val="00B97E24"/>
    <w:rsid w:val="00BA0BE6"/>
    <w:rsid w:val="00BA2122"/>
    <w:rsid w:val="00BA2F3A"/>
    <w:rsid w:val="00BB1567"/>
    <w:rsid w:val="00BB5A81"/>
    <w:rsid w:val="00BE5ABE"/>
    <w:rsid w:val="00BF47F9"/>
    <w:rsid w:val="00C07688"/>
    <w:rsid w:val="00C260AB"/>
    <w:rsid w:val="00C32933"/>
    <w:rsid w:val="00C3314D"/>
    <w:rsid w:val="00C52B18"/>
    <w:rsid w:val="00C75246"/>
    <w:rsid w:val="00C80B0B"/>
    <w:rsid w:val="00C84507"/>
    <w:rsid w:val="00C91EDF"/>
    <w:rsid w:val="00C92F33"/>
    <w:rsid w:val="00C93B39"/>
    <w:rsid w:val="00C97447"/>
    <w:rsid w:val="00CB04AC"/>
    <w:rsid w:val="00CC6622"/>
    <w:rsid w:val="00CD476E"/>
    <w:rsid w:val="00CE2B07"/>
    <w:rsid w:val="00D1104D"/>
    <w:rsid w:val="00D20F5D"/>
    <w:rsid w:val="00D3285F"/>
    <w:rsid w:val="00D376ED"/>
    <w:rsid w:val="00D40E4F"/>
    <w:rsid w:val="00D420E7"/>
    <w:rsid w:val="00D6103E"/>
    <w:rsid w:val="00D638D0"/>
    <w:rsid w:val="00D655B0"/>
    <w:rsid w:val="00D67A0A"/>
    <w:rsid w:val="00D734B9"/>
    <w:rsid w:val="00D762A6"/>
    <w:rsid w:val="00D762BF"/>
    <w:rsid w:val="00D84564"/>
    <w:rsid w:val="00D958CF"/>
    <w:rsid w:val="00D968A7"/>
    <w:rsid w:val="00DA3848"/>
    <w:rsid w:val="00DC2149"/>
    <w:rsid w:val="00DC223C"/>
    <w:rsid w:val="00DC789F"/>
    <w:rsid w:val="00DD3C40"/>
    <w:rsid w:val="00DD7275"/>
    <w:rsid w:val="00DE1C6C"/>
    <w:rsid w:val="00DE47C2"/>
    <w:rsid w:val="00DE5037"/>
    <w:rsid w:val="00DF054C"/>
    <w:rsid w:val="00DF3B82"/>
    <w:rsid w:val="00DF65C1"/>
    <w:rsid w:val="00E008A4"/>
    <w:rsid w:val="00E042C5"/>
    <w:rsid w:val="00E06D7C"/>
    <w:rsid w:val="00E14889"/>
    <w:rsid w:val="00E21963"/>
    <w:rsid w:val="00E22D9A"/>
    <w:rsid w:val="00E262A3"/>
    <w:rsid w:val="00E32D2F"/>
    <w:rsid w:val="00E51E95"/>
    <w:rsid w:val="00E5461B"/>
    <w:rsid w:val="00E708C9"/>
    <w:rsid w:val="00E74E35"/>
    <w:rsid w:val="00E75B93"/>
    <w:rsid w:val="00E86D2A"/>
    <w:rsid w:val="00E9123C"/>
    <w:rsid w:val="00E92F48"/>
    <w:rsid w:val="00E95800"/>
    <w:rsid w:val="00EB1C90"/>
    <w:rsid w:val="00EC1EF8"/>
    <w:rsid w:val="00EC2547"/>
    <w:rsid w:val="00EC4079"/>
    <w:rsid w:val="00EE7D05"/>
    <w:rsid w:val="00EF0DCA"/>
    <w:rsid w:val="00EF17BC"/>
    <w:rsid w:val="00EF3B9C"/>
    <w:rsid w:val="00F04CAD"/>
    <w:rsid w:val="00F11982"/>
    <w:rsid w:val="00F215D1"/>
    <w:rsid w:val="00F244A5"/>
    <w:rsid w:val="00F2634D"/>
    <w:rsid w:val="00F332CE"/>
    <w:rsid w:val="00F35009"/>
    <w:rsid w:val="00F4083E"/>
    <w:rsid w:val="00F45BA7"/>
    <w:rsid w:val="00F51DD4"/>
    <w:rsid w:val="00F5512F"/>
    <w:rsid w:val="00F6483C"/>
    <w:rsid w:val="00F64D56"/>
    <w:rsid w:val="00F73621"/>
    <w:rsid w:val="00F82B11"/>
    <w:rsid w:val="00F8436A"/>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AF632DE-6BD7-4A20-A22D-4D4ADCE70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C93B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3B39"/>
    <w:rPr>
      <w:rFonts w:ascii="Segoe UI" w:hAnsi="Segoe UI" w:cs="Segoe UI"/>
      <w:sz w:val="18"/>
      <w:szCs w:val="18"/>
    </w:rPr>
  </w:style>
  <w:style w:type="paragraph" w:styleId="ListParagraph">
    <w:name w:val="List Paragraph"/>
    <w:basedOn w:val="Normal"/>
    <w:uiPriority w:val="34"/>
    <w:qFormat/>
    <w:rsid w:val="006C39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1407</Words>
  <Characters>7475</Characters>
  <Application>Microsoft Office Word</Application>
  <DocSecurity>0</DocSecurity>
  <Lines>159</Lines>
  <Paragraphs>58</Paragraphs>
  <ScaleCrop>false</ScaleCrop>
  <HeadingPairs>
    <vt:vector size="2" baseType="variant">
      <vt:variant>
        <vt:lpstr>Title</vt:lpstr>
      </vt:variant>
      <vt:variant>
        <vt:i4>1</vt:i4>
      </vt:variant>
    </vt:vector>
  </HeadingPairs>
  <TitlesOfParts>
    <vt:vector size="1" baseType="lpstr">
      <vt:lpstr>S4062   FISCAL NOTE</vt:lpstr>
    </vt:vector>
  </TitlesOfParts>
  <Manager>Patrick Brennan; R229</Manager>
  <Company>Office of Legislative Services</Company>
  <LinksUpToDate>false</LinksUpToDate>
  <CharactersWithSpaces>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S4062   FISCAL NOTE</dc:title>
  <dc:creator>Senator SWEENEY</dc:creator>
  <cp:keywords>S4062|4|AU |261|0|0|!||</cp:keywords>
  <dc:description>sponsor 11/29 BPU 12/2</dc:description>
  <cp:lastModifiedBy>Bell, Careema</cp:lastModifiedBy>
  <cp:revision>2</cp:revision>
  <cp:lastPrinted>2021-11-24T16:48:00Z</cp:lastPrinted>
  <dcterms:created xsi:type="dcterms:W3CDTF">2021-12-02T17:30:00Z</dcterms:created>
  <dcterms:modified xsi:type="dcterms:W3CDTF">2021-12-02T17:30:00Z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