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D145C" w:rsidP="00407C9E">
      <w:pPr>
        <w:pStyle w:val="NoteOrEstimate"/>
      </w:pPr>
      <w:r>
        <w:t>LEGISLATIVE FISCAL ESTIMATE</w:t>
      </w:r>
    </w:p>
    <w:p w:rsidR="00B73DAB" w:rsidRPr="00B73DAB" w:rsidRDefault="00B73DAB" w:rsidP="002D7863">
      <w:pPr>
        <w:pStyle w:val="BillNo"/>
        <w:tabs>
          <w:tab w:val="left" w:pos="360"/>
          <w:tab w:val="left" w:pos="720"/>
          <w:tab w:val="left" w:pos="1440"/>
          <w:tab w:val="left" w:pos="2160"/>
          <w:tab w:val="left" w:pos="2880"/>
          <w:tab w:val="left" w:pos="3600"/>
          <w:tab w:val="left" w:pos="4320"/>
          <w:tab w:val="left" w:pos="5040"/>
        </w:tabs>
        <w:rPr>
          <w:b w:val="0"/>
          <w:sz w:val="36"/>
        </w:rPr>
      </w:pPr>
      <w:r w:rsidRPr="00B73DAB">
        <w:rPr>
          <w:b w:val="0"/>
          <w:sz w:val="36"/>
        </w:rPr>
        <w:t>[</w:t>
      </w:r>
      <w:r>
        <w:rPr>
          <w:b w:val="0"/>
          <w:sz w:val="36"/>
        </w:rPr>
        <w:t>First</w:t>
      </w:r>
      <w:r w:rsidRPr="00B73DAB">
        <w:rPr>
          <w:b w:val="0"/>
          <w:sz w:val="36"/>
        </w:rPr>
        <w:t xml:space="preserve"> Reprint]</w:t>
      </w:r>
    </w:p>
    <w:p w:rsidR="003C5892" w:rsidRDefault="00FD145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040CF" w:rsidP="00F040CF">
      <w:pPr>
        <w:pStyle w:val="BillNo"/>
      </w:pPr>
      <w:r>
        <w:t>219th LEGISLATURE</w:t>
      </w:r>
    </w:p>
    <w:p w:rsidR="00353325" w:rsidRDefault="00353325" w:rsidP="00353325"/>
    <w:p w:rsidR="00F040CF" w:rsidRDefault="00F040CF" w:rsidP="00F040CF">
      <w:pPr>
        <w:jc w:val="center"/>
      </w:pPr>
      <w:r>
        <w:t>DATED: NOVEMBER 15, 2021</w:t>
      </w:r>
    </w:p>
    <w:p w:rsidR="00F040CF" w:rsidRDefault="00F040CF" w:rsidP="00353325"/>
    <w:p w:rsidR="00F040CF" w:rsidRDefault="00F040C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91A02" w:rsidP="00515AC5">
            <w:r w:rsidRPr="00491A02">
              <w:t>Revises gross income tax credit for child and dependent care expenses</w:t>
            </w:r>
            <w:r w:rsidR="00314A4B">
              <w:t xml:space="preserve"> for tax year 2021</w:t>
            </w:r>
            <w:r w:rsidRPr="00491A02">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14A4B" w:rsidP="00515AC5">
            <w:r>
              <w:t>FY 2022</w:t>
            </w:r>
            <w:r w:rsidR="00653B18">
              <w:t xml:space="preserve"> State revenue loss to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91A02" w:rsidP="00515AC5">
            <w:r>
              <w:t>Department of the Treasury</w:t>
            </w:r>
            <w:r w:rsidR="00B461C9">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20"/>
        <w:gridCol w:w="6940"/>
        <w:gridCol w:w="15"/>
      </w:tblGrid>
      <w:tr w:rsidR="00C75246" w:rsidTr="006F5B7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14A4B" w:rsidTr="00314A4B">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314A4B" w:rsidRPr="00F11982" w:rsidRDefault="00314A4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940" w:type="dxa"/>
            <w:tcBorders>
              <w:top w:val="single" w:sz="6" w:space="0" w:color="auto"/>
              <w:left w:val="nil"/>
              <w:bottom w:val="single" w:sz="12" w:space="0" w:color="auto"/>
              <w:right w:val="single" w:sz="6" w:space="0" w:color="auto"/>
            </w:tcBorders>
            <w:shd w:val="pct20" w:color="auto" w:fill="auto"/>
            <w:vAlign w:val="bottom"/>
          </w:tcPr>
          <w:p w:rsidR="00314A4B" w:rsidRPr="00F11982" w:rsidRDefault="00314A4B" w:rsidP="00653B18">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Pr="00F11982">
              <w:rPr>
                <w:b/>
              </w:rPr>
              <w:t xml:space="preserve">  </w:t>
            </w:r>
          </w:p>
        </w:tc>
      </w:tr>
      <w:tr w:rsidR="00314A4B" w:rsidTr="00314A4B">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314A4B" w:rsidRPr="00F11982" w:rsidRDefault="00314A4B"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940" w:type="dxa"/>
            <w:tcBorders>
              <w:top w:val="nil"/>
              <w:left w:val="nil"/>
              <w:bottom w:val="nil"/>
              <w:right w:val="single" w:sz="6" w:space="0" w:color="auto"/>
            </w:tcBorders>
            <w:tcMar>
              <w:bottom w:w="29" w:type="dxa"/>
            </w:tcMar>
            <w:vAlign w:val="bottom"/>
          </w:tcPr>
          <w:p w:rsidR="00314A4B" w:rsidRDefault="00314A4B" w:rsidP="002D7863">
            <w:pPr>
              <w:tabs>
                <w:tab w:val="left" w:pos="360"/>
                <w:tab w:val="left" w:pos="720"/>
                <w:tab w:val="left" w:pos="1440"/>
                <w:tab w:val="left" w:pos="2160"/>
                <w:tab w:val="left" w:pos="2880"/>
                <w:tab w:val="left" w:pos="3600"/>
                <w:tab w:val="left" w:pos="4320"/>
                <w:tab w:val="left" w:pos="5040"/>
              </w:tabs>
              <w:jc w:val="center"/>
            </w:pPr>
            <w:r>
              <w:t>$76.2 million</w:t>
            </w:r>
          </w:p>
        </w:tc>
      </w:tr>
      <w:tr w:rsidR="00C75246" w:rsidTr="006F5B7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653B18" w:rsidP="00F040CF">
      <w:pPr>
        <w:pStyle w:val="StyleBulletedSymbolsymbol"/>
        <w:spacing w:after="0"/>
      </w:pPr>
      <w:r>
        <w:t xml:space="preserve">The </w:t>
      </w:r>
      <w:r w:rsidR="00B461C9">
        <w:t xml:space="preserve">Office of Legislative Services (OLS) notes the </w:t>
      </w:r>
      <w:r>
        <w:t xml:space="preserve">Executive originally proposed </w:t>
      </w:r>
      <w:r w:rsidR="00CC73B7">
        <w:t>a similar</w:t>
      </w:r>
      <w:r w:rsidR="00314A4B">
        <w:t xml:space="preserve"> </w:t>
      </w:r>
      <w:r>
        <w:t>expansion of the State’s child and dependent care tax credit as part of the FY 2022 Govern</w:t>
      </w:r>
      <w:r w:rsidR="00CC73B7">
        <w:t>or’s Budget.  That</w:t>
      </w:r>
      <w:r>
        <w:t xml:space="preserve"> </w:t>
      </w:r>
      <w:r w:rsidR="00CC73B7">
        <w:t>expansion</w:t>
      </w:r>
      <w:r>
        <w:t xml:space="preserve"> of the program was originally anticipated to reduce revenues by an additional $17.2 </w:t>
      </w:r>
      <w:r w:rsidR="00314A4B">
        <w:t xml:space="preserve">million annually.  </w:t>
      </w:r>
      <w:r>
        <w:t xml:space="preserve">Based on changes to the federal credit, which affects the calculation of the State’s credit, the Executive </w:t>
      </w:r>
      <w:r w:rsidR="00CC73B7">
        <w:t>revised its estimate to</w:t>
      </w:r>
      <w:r>
        <w:t xml:space="preserve"> $76.2 million for TY 2021.  </w:t>
      </w:r>
    </w:p>
    <w:p w:rsidR="00F040CF" w:rsidRDefault="00F040CF" w:rsidP="00F040CF">
      <w:pPr>
        <w:pStyle w:val="StyleBulletedSymbolsymbol"/>
        <w:numPr>
          <w:ilvl w:val="0"/>
          <w:numId w:val="0"/>
        </w:numPr>
        <w:spacing w:after="0"/>
        <w:ind w:left="360" w:hanging="360"/>
      </w:pPr>
    </w:p>
    <w:p w:rsidR="007E5EB3" w:rsidRDefault="00653B18" w:rsidP="00F040CF">
      <w:pPr>
        <w:pStyle w:val="StyleBulletedSymbolsymbol"/>
        <w:spacing w:after="0"/>
      </w:pPr>
      <w:r w:rsidRPr="00653B18">
        <w:t xml:space="preserve">The OLS </w:t>
      </w:r>
      <w:r w:rsidR="00B72554">
        <w:t xml:space="preserve">ultimately </w:t>
      </w:r>
      <w:r w:rsidRPr="00653B18">
        <w:t>agree</w:t>
      </w:r>
      <w:r w:rsidR="00314A4B">
        <w:t>s with the Executive’s estimate</w:t>
      </w:r>
      <w:r w:rsidRPr="00653B18">
        <w:t xml:space="preserve"> for the </w:t>
      </w:r>
      <w:r w:rsidR="00314A4B">
        <w:t xml:space="preserve">temporary </w:t>
      </w:r>
      <w:r w:rsidRPr="00653B18">
        <w:t>expansion of the State’s child and dependent care tax credit.</w:t>
      </w:r>
    </w:p>
    <w:p w:rsidR="00F040CF" w:rsidRDefault="00F040CF" w:rsidP="00F040CF">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5B71" w:rsidRDefault="006F5B71" w:rsidP="006F5B71">
      <w:pPr>
        <w:tabs>
          <w:tab w:val="left" w:pos="360"/>
          <w:tab w:val="left" w:pos="720"/>
          <w:tab w:val="left" w:pos="1440"/>
          <w:tab w:val="left" w:pos="2160"/>
          <w:tab w:val="left" w:pos="2880"/>
          <w:tab w:val="left" w:pos="3600"/>
          <w:tab w:val="left" w:pos="4320"/>
          <w:tab w:val="left" w:pos="5040"/>
        </w:tabs>
      </w:pPr>
      <w:r>
        <w:tab/>
        <w:t>This bill revises the State’s child and dependent care tax credit, which is based on the federal credit and is for taxpayers who incur expenses for household services and the care of a child or dependent to enab</w:t>
      </w:r>
      <w:r w:rsidR="00314A4B">
        <w:t>le the taxpayer to be employed.  This change would only affect Tax Year 2021.</w:t>
      </w:r>
    </w:p>
    <w:p w:rsidR="006F5B71" w:rsidRDefault="006F5B71" w:rsidP="006F5B71">
      <w:pPr>
        <w:tabs>
          <w:tab w:val="left" w:pos="360"/>
          <w:tab w:val="left" w:pos="720"/>
          <w:tab w:val="left" w:pos="1440"/>
          <w:tab w:val="left" w:pos="2160"/>
          <w:tab w:val="left" w:pos="2880"/>
          <w:tab w:val="left" w:pos="3600"/>
          <w:tab w:val="left" w:pos="4320"/>
          <w:tab w:val="left" w:pos="5040"/>
        </w:tabs>
      </w:pPr>
      <w:r>
        <w:tab/>
        <w:t>The bill revises the income requirements for the credit so that taxpayers who have New Jersey taxable income of $150,000 or less for the tax year can claim the credit compared to $60,000 or less under current law.  In addition, the bill removes the current caps of $500 for employment-</w:t>
      </w:r>
      <w:r>
        <w:lastRenderedPageBreak/>
        <w:t xml:space="preserve">related expenses paid by the taxpayer for one child or dependent and $1,000 for employment-related expenses paid by the taxpayer for two or more children or dependents.  </w:t>
      </w:r>
    </w:p>
    <w:p w:rsidR="00255944" w:rsidRDefault="006F5B71" w:rsidP="006F5B71">
      <w:pPr>
        <w:tabs>
          <w:tab w:val="left" w:pos="360"/>
          <w:tab w:val="left" w:pos="720"/>
          <w:tab w:val="left" w:pos="1440"/>
          <w:tab w:val="left" w:pos="2160"/>
          <w:tab w:val="left" w:pos="2880"/>
          <w:tab w:val="left" w:pos="3600"/>
          <w:tab w:val="left" w:pos="4320"/>
          <w:tab w:val="left" w:pos="5040"/>
        </w:tabs>
      </w:pPr>
      <w:r>
        <w:tab/>
        <w:t>The bill revises the tax credit’s taxable income eligibility requirements as follows: not over $30,000 to receive a New Jersey tax credit equal to 50 percent of the federal credit; over $30,000 but not over $60,000 to receive 40 percent of the federal credit; over $60,000 but not over $90,000 to receive 30 percent of the federal credit; over $90,000 but not over $120,000 to receive 20 percent of the federal credit; and over $120,000 but not over $150,000 to receive 10 percent of the federal credit.</w:t>
      </w:r>
    </w:p>
    <w:p w:rsidR="006F5B71" w:rsidRDefault="006F5B71" w:rsidP="006F5B71">
      <w:pPr>
        <w:tabs>
          <w:tab w:val="left" w:pos="360"/>
          <w:tab w:val="left" w:pos="720"/>
          <w:tab w:val="left" w:pos="1440"/>
          <w:tab w:val="left" w:pos="2160"/>
          <w:tab w:val="left" w:pos="2880"/>
          <w:tab w:val="left" w:pos="3600"/>
          <w:tab w:val="left" w:pos="4320"/>
          <w:tab w:val="left" w:pos="5040"/>
        </w:tabs>
      </w:pPr>
      <w:r>
        <w:tab/>
      </w:r>
      <w:r w:rsidRPr="006F5B71">
        <w:t>The bill revises the credit so that it will be refundable.  This means that a taxpayer could receive a cash refund if the credit amount is in excess of their gross income tax liability.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25AA7" w:rsidRDefault="00D9755A" w:rsidP="002D7863">
      <w:pPr>
        <w:tabs>
          <w:tab w:val="left" w:pos="360"/>
          <w:tab w:val="left" w:pos="720"/>
          <w:tab w:val="left" w:pos="1440"/>
          <w:tab w:val="left" w:pos="2160"/>
          <w:tab w:val="left" w:pos="2880"/>
          <w:tab w:val="left" w:pos="3600"/>
          <w:tab w:val="left" w:pos="4320"/>
          <w:tab w:val="left" w:pos="5040"/>
        </w:tabs>
      </w:pPr>
      <w:r>
        <w:tab/>
      </w:r>
      <w:r w:rsidRPr="00D9755A">
        <w:t>The Executive originally proposed a similar expansion of the State’s child and dependent care tax credit as part of the FY 2022 Governor’s Budget.  As noted on page 53 of the FY 2022 Budget in Brief, the child and dependent care tax credit produces a revenue loss of ab</w:t>
      </w:r>
      <w:r w:rsidR="00F50BDD">
        <w:t>out $11.5 million annually.  That</w:t>
      </w:r>
      <w:r w:rsidRPr="00D9755A">
        <w:t xml:space="preserve"> expansion of the program was originally anticipated to reduce revenues by an additional $17.2 million annually.  However, the federal American Rescue Plan Act of 2021 made several changes to the federal credit for TY 2021 only, which affects the calculation of the State’s credit.  Based on the changes to the federal credit, the Executive revised its estimate to $76.2 million for TY 2021 (FY 2022 impact).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9608F" w:rsidRPr="00653B18">
        <w:t xml:space="preserve">The OLS </w:t>
      </w:r>
      <w:r w:rsidR="00E9608F">
        <w:t xml:space="preserve">ultimately </w:t>
      </w:r>
      <w:r w:rsidR="00E9608F" w:rsidRPr="00653B18">
        <w:t>agree</w:t>
      </w:r>
      <w:r w:rsidR="00E9608F">
        <w:t>s with the Executive’s estimate</w:t>
      </w:r>
      <w:r w:rsidR="00E9608F" w:rsidRPr="00653B18">
        <w:t xml:space="preserve"> for the </w:t>
      </w:r>
      <w:r w:rsidR="00E9608F">
        <w:t xml:space="preserve">temporary </w:t>
      </w:r>
      <w:r w:rsidR="00E9608F" w:rsidRPr="00653B18">
        <w:t>expansion of the State’s child and dependent care tax credit.</w:t>
      </w:r>
      <w:r w:rsidR="00E9608F">
        <w:t xml:space="preserve">  </w:t>
      </w:r>
      <w:r w:rsidR="002E78C3">
        <w:t xml:space="preserve">The OLS calculated the </w:t>
      </w:r>
      <w:r w:rsidR="00F50BDD">
        <w:t xml:space="preserve">temporary </w:t>
      </w:r>
      <w:r w:rsidR="002E78C3">
        <w:t>expansion of the credit to reduce revenues by $82.6 million for TY 2021, which is slightly more than the Executive’</w:t>
      </w:r>
      <w:r w:rsidR="0044138A">
        <w:t xml:space="preserve">s estimate.  </w:t>
      </w:r>
      <w:r w:rsidR="00B72554" w:rsidRPr="00B72554">
        <w:t xml:space="preserve">The OLS does not have access to data for the State’s existing credit, so TY 2018 New Jersey Statistics of Income data from the federal Internal Revenue Service were utilized to review the Executive’s estimates.  </w:t>
      </w:r>
      <w:r w:rsidR="0044138A">
        <w:t>Differences in data sources and methodology contribute to the minor difference in the Executive’s and the OLS’s estimates.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91A02"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91A02" w:rsidP="00EF17BC">
            <w:pPr>
              <w:pStyle w:val="10pointItalics"/>
            </w:pPr>
            <w:bookmarkStart w:id="2" w:name="UserFullName"/>
            <w:bookmarkEnd w:id="2"/>
            <w:r>
              <w:t xml:space="preserve">Jordan M. </w:t>
            </w:r>
            <w:proofErr w:type="spellStart"/>
            <w:r>
              <w:t>DiGiovanni</w:t>
            </w:r>
            <w:proofErr w:type="spellEnd"/>
          </w:p>
          <w:p w:rsidR="00EF17BC" w:rsidRDefault="00491A02" w:rsidP="00EF17BC">
            <w:pPr>
              <w:pStyle w:val="10pointItalics"/>
              <w:rPr>
                <w:sz w:val="24"/>
              </w:rPr>
            </w:pPr>
            <w:r>
              <w:t>Revenue Analyst</w:t>
            </w:r>
          </w:p>
        </w:tc>
      </w:tr>
      <w:tr w:rsidR="00EF17BC" w:rsidTr="006E5BFE">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6E5BFE" w:rsidRDefault="006E5BFE" w:rsidP="00EF17BC">
      <w:pPr>
        <w:tabs>
          <w:tab w:val="left" w:pos="360"/>
          <w:tab w:val="left" w:pos="720"/>
          <w:tab w:val="left" w:pos="1440"/>
          <w:tab w:val="left" w:pos="2160"/>
          <w:tab w:val="left" w:pos="2880"/>
          <w:tab w:val="left" w:pos="3600"/>
          <w:tab w:val="left" w:pos="4320"/>
          <w:tab w:val="left" w:pos="5040"/>
        </w:tabs>
      </w:pPr>
    </w:p>
    <w:p w:rsidR="006E5BFE" w:rsidRDefault="006E5BFE" w:rsidP="00EF17BC">
      <w:pPr>
        <w:tabs>
          <w:tab w:val="left" w:pos="360"/>
          <w:tab w:val="left" w:pos="720"/>
          <w:tab w:val="left" w:pos="1440"/>
          <w:tab w:val="left" w:pos="2160"/>
          <w:tab w:val="left" w:pos="2880"/>
          <w:tab w:val="left" w:pos="3600"/>
          <w:tab w:val="left" w:pos="4320"/>
          <w:tab w:val="left" w:pos="5040"/>
        </w:tabs>
      </w:pPr>
    </w:p>
    <w:p w:rsidR="00EF17BC" w:rsidRDefault="00FD145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D145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45C" w:rsidRDefault="00FD145C">
      <w:r>
        <w:separator/>
      </w:r>
    </w:p>
  </w:endnote>
  <w:endnote w:type="continuationSeparator" w:id="0">
    <w:p w:rsidR="00FD145C" w:rsidRDefault="00FD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068D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4846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45C" w:rsidRDefault="00FD145C">
      <w:r>
        <w:separator/>
      </w:r>
    </w:p>
  </w:footnote>
  <w:footnote w:type="continuationSeparator" w:id="0">
    <w:p w:rsidR="00FD145C" w:rsidRDefault="00FD1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45C" w:rsidRDefault="00FD145C" w:rsidP="00FD145C">
    <w:pPr>
      <w:pStyle w:val="Header"/>
      <w:jc w:val="center"/>
    </w:pPr>
    <w:r>
      <w:t>FE to S4</w:t>
    </w:r>
    <w:r w:rsidR="00571EFB">
      <w:t>065 [1R]</w:t>
    </w:r>
    <w:r>
      <w:t xml:space="preserve"> </w:t>
    </w:r>
  </w:p>
  <w:p w:rsidR="00FD145C" w:rsidRDefault="00FD145C" w:rsidP="00FD145C">
    <w:pPr>
      <w:pStyle w:val="Header"/>
      <w:jc w:val="center"/>
    </w:pPr>
    <w:r>
      <w:fldChar w:fldCharType="begin"/>
    </w:r>
    <w:r>
      <w:instrText xml:space="preserve"> PAGE  \* MERGEFORMAT </w:instrText>
    </w:r>
    <w:r>
      <w:fldChar w:fldCharType="separate"/>
    </w:r>
    <w:r w:rsidR="006068D6">
      <w:rPr>
        <w:noProof/>
      </w:rPr>
      <w:t>2</w:t>
    </w:r>
    <w:r>
      <w:fldChar w:fldCharType="end"/>
    </w:r>
  </w:p>
  <w:p w:rsidR="00FD145C" w:rsidRDefault="00FD145C" w:rsidP="00FD14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45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2B88"/>
    <w:rsid w:val="001F4F8B"/>
    <w:rsid w:val="00201322"/>
    <w:rsid w:val="00203C53"/>
    <w:rsid w:val="00210E60"/>
    <w:rsid w:val="002116FF"/>
    <w:rsid w:val="00212908"/>
    <w:rsid w:val="00213CFF"/>
    <w:rsid w:val="00220166"/>
    <w:rsid w:val="00231207"/>
    <w:rsid w:val="00234802"/>
    <w:rsid w:val="00240B1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78C3"/>
    <w:rsid w:val="002F5E01"/>
    <w:rsid w:val="00314A4B"/>
    <w:rsid w:val="00325AA7"/>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138A"/>
    <w:rsid w:val="00485323"/>
    <w:rsid w:val="00487ED8"/>
    <w:rsid w:val="004911CB"/>
    <w:rsid w:val="00491918"/>
    <w:rsid w:val="00491A0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73C9"/>
    <w:rsid w:val="00570997"/>
    <w:rsid w:val="00571EFB"/>
    <w:rsid w:val="00572C6A"/>
    <w:rsid w:val="00577AA8"/>
    <w:rsid w:val="005850CE"/>
    <w:rsid w:val="005A6D23"/>
    <w:rsid w:val="005C1947"/>
    <w:rsid w:val="005C1E9D"/>
    <w:rsid w:val="005E03E7"/>
    <w:rsid w:val="005E75AB"/>
    <w:rsid w:val="00601F73"/>
    <w:rsid w:val="006068D6"/>
    <w:rsid w:val="00625D15"/>
    <w:rsid w:val="00651611"/>
    <w:rsid w:val="00653AE2"/>
    <w:rsid w:val="00653B18"/>
    <w:rsid w:val="006653D2"/>
    <w:rsid w:val="006671C7"/>
    <w:rsid w:val="00670EC5"/>
    <w:rsid w:val="006917CF"/>
    <w:rsid w:val="00692BD4"/>
    <w:rsid w:val="006B22F3"/>
    <w:rsid w:val="006B2FD5"/>
    <w:rsid w:val="006B5C2D"/>
    <w:rsid w:val="006B6C16"/>
    <w:rsid w:val="006D6F6C"/>
    <w:rsid w:val="006E5BFE"/>
    <w:rsid w:val="006F239A"/>
    <w:rsid w:val="006F505D"/>
    <w:rsid w:val="006F5B71"/>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C5FCA"/>
    <w:rsid w:val="008D5731"/>
    <w:rsid w:val="008E1349"/>
    <w:rsid w:val="008F2604"/>
    <w:rsid w:val="00926277"/>
    <w:rsid w:val="00937A78"/>
    <w:rsid w:val="00947B1E"/>
    <w:rsid w:val="00953C08"/>
    <w:rsid w:val="00973C29"/>
    <w:rsid w:val="009B14F4"/>
    <w:rsid w:val="009B1B0D"/>
    <w:rsid w:val="009B1C3D"/>
    <w:rsid w:val="009B32DD"/>
    <w:rsid w:val="009C005A"/>
    <w:rsid w:val="009D4BC2"/>
    <w:rsid w:val="009D5E5F"/>
    <w:rsid w:val="009D62B4"/>
    <w:rsid w:val="009E1448"/>
    <w:rsid w:val="009E14CD"/>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461C9"/>
    <w:rsid w:val="00B551EB"/>
    <w:rsid w:val="00B55F3D"/>
    <w:rsid w:val="00B72554"/>
    <w:rsid w:val="00B73DAB"/>
    <w:rsid w:val="00B76BD4"/>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79CE"/>
    <w:rsid w:val="00CC6622"/>
    <w:rsid w:val="00CC73B7"/>
    <w:rsid w:val="00D20F5D"/>
    <w:rsid w:val="00D376ED"/>
    <w:rsid w:val="00D40E4F"/>
    <w:rsid w:val="00D638D0"/>
    <w:rsid w:val="00D67A0A"/>
    <w:rsid w:val="00D734B9"/>
    <w:rsid w:val="00D762A6"/>
    <w:rsid w:val="00D762BF"/>
    <w:rsid w:val="00D84564"/>
    <w:rsid w:val="00D958CF"/>
    <w:rsid w:val="00D968A7"/>
    <w:rsid w:val="00D9755A"/>
    <w:rsid w:val="00DB7BDD"/>
    <w:rsid w:val="00DC2149"/>
    <w:rsid w:val="00DC789F"/>
    <w:rsid w:val="00DD3C40"/>
    <w:rsid w:val="00DD7275"/>
    <w:rsid w:val="00DE1C6C"/>
    <w:rsid w:val="00DE47C2"/>
    <w:rsid w:val="00DE5037"/>
    <w:rsid w:val="00DF054C"/>
    <w:rsid w:val="00DF65C1"/>
    <w:rsid w:val="00E008A4"/>
    <w:rsid w:val="00E042C5"/>
    <w:rsid w:val="00E06D7C"/>
    <w:rsid w:val="00E15CC9"/>
    <w:rsid w:val="00E21963"/>
    <w:rsid w:val="00E22D9A"/>
    <w:rsid w:val="00E262A3"/>
    <w:rsid w:val="00E32D2F"/>
    <w:rsid w:val="00E44F7F"/>
    <w:rsid w:val="00E51E95"/>
    <w:rsid w:val="00E5461B"/>
    <w:rsid w:val="00E708C9"/>
    <w:rsid w:val="00E74E35"/>
    <w:rsid w:val="00E75B93"/>
    <w:rsid w:val="00E86D2A"/>
    <w:rsid w:val="00E9123C"/>
    <w:rsid w:val="00E95800"/>
    <w:rsid w:val="00E9608F"/>
    <w:rsid w:val="00EB1C90"/>
    <w:rsid w:val="00EC1EF8"/>
    <w:rsid w:val="00EC2547"/>
    <w:rsid w:val="00EC4079"/>
    <w:rsid w:val="00EE7D05"/>
    <w:rsid w:val="00EF17BC"/>
    <w:rsid w:val="00EF3B9C"/>
    <w:rsid w:val="00F040CF"/>
    <w:rsid w:val="00F04CAD"/>
    <w:rsid w:val="00F11982"/>
    <w:rsid w:val="00F2634D"/>
    <w:rsid w:val="00F332CE"/>
    <w:rsid w:val="00F35009"/>
    <w:rsid w:val="00F367AA"/>
    <w:rsid w:val="00F4083E"/>
    <w:rsid w:val="00F45BA7"/>
    <w:rsid w:val="00F50BDD"/>
    <w:rsid w:val="00F51DD4"/>
    <w:rsid w:val="00F64D56"/>
    <w:rsid w:val="00F73621"/>
    <w:rsid w:val="00F82B11"/>
    <w:rsid w:val="00F873F0"/>
    <w:rsid w:val="00FA6D2B"/>
    <w:rsid w:val="00FB15DB"/>
    <w:rsid w:val="00FC7DA9"/>
    <w:rsid w:val="00FD145C"/>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5263B6-BB86-4F4E-A5DC-D8FD22194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040CF"/>
    <w:pPr>
      <w:ind w:left="720"/>
      <w:contextualSpacing/>
    </w:pPr>
  </w:style>
  <w:style w:type="paragraph" w:styleId="BalloonText">
    <w:name w:val="Balloon Text"/>
    <w:basedOn w:val="Normal"/>
    <w:link w:val="BalloonTextChar"/>
    <w:semiHidden/>
    <w:unhideWhenUsed/>
    <w:rsid w:val="009262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2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702</Words>
  <Characters>3617</Characters>
  <Application>Microsoft Office Word</Application>
  <DocSecurity>0</DocSecurity>
  <Lines>97</Lines>
  <Paragraphs>40</Paragraphs>
  <ScaleCrop>false</ScaleCrop>
  <HeadingPairs>
    <vt:vector size="2" baseType="variant">
      <vt:variant>
        <vt:lpstr>Title</vt:lpstr>
      </vt:variant>
      <vt:variant>
        <vt:i4>1</vt:i4>
      </vt:variant>
    </vt:vector>
  </HeadingPairs>
  <TitlesOfParts>
    <vt:vector size="1" baseType="lpstr">
      <vt:lpstr>S4065 [1R]   FISCAL ESTIMATE</vt:lpstr>
    </vt:vector>
  </TitlesOfParts>
  <Manager>Jordan DiGiovanni; R56</Manager>
  <Company>Office of Legislative Services</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S4065 1R   FISCAL ESTIMATE</dc:title>
  <dc:creator>Assemblyman DANCER</dc:creator>
  <cp:keywords>S4065|2|RF |282|265|265|!||</cp:keywords>
  <dc:description>Sponsor 11/10</dc:description>
  <cp:lastModifiedBy>Todaro, Vivian</cp:lastModifiedBy>
  <cp:revision>2</cp:revision>
  <cp:lastPrinted>2021-11-15T15:23:00Z</cp:lastPrinted>
  <dcterms:created xsi:type="dcterms:W3CDTF">2021-11-15T17:31:00Z</dcterms:created>
  <dcterms:modified xsi:type="dcterms:W3CDTF">2021-11-15T17:31:00Z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