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53C" w:rsidRDefault="0099153C" w:rsidP="0099153C">
      <w:pPr>
        <w:pStyle w:val="bpuReprint"/>
      </w:pPr>
      <w:bookmarkStart w:id="0" w:name="bpuFrontPg"/>
      <w:bookmarkStart w:id="1" w:name="_GoBack"/>
      <w:bookmarkEnd w:id="0"/>
      <w:bookmarkEnd w:id="1"/>
      <w:r>
        <w:t>[First Reprint]</w:t>
      </w:r>
    </w:p>
    <w:p w:rsidR="00E34F6D" w:rsidRDefault="00E34F6D" w:rsidP="00E34F6D">
      <w:pPr>
        <w:pStyle w:val="bpuBill"/>
      </w:pPr>
      <w:r>
        <w:t xml:space="preserve">SENATE, No. 4189 </w:t>
      </w:r>
    </w:p>
    <w:p w:rsidR="00E34F6D" w:rsidRPr="009D38FF" w:rsidRDefault="00E34F6D" w:rsidP="00E34F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8627" r:id="rId8"/>
        </w:object>
      </w:r>
    </w:p>
    <w:p w:rsidR="00E34F6D" w:rsidRDefault="00E34F6D" w:rsidP="00E34F6D">
      <w:pPr>
        <w:pStyle w:val="bpuState"/>
      </w:pPr>
      <w:r>
        <w:t>STATE OF NEW JERSEY</w:t>
      </w:r>
    </w:p>
    <w:p w:rsidR="00E34F6D" w:rsidRDefault="00E34F6D" w:rsidP="00E34F6D">
      <w:pPr>
        <w:pStyle w:val="bpuLegislature"/>
      </w:pPr>
      <w:r>
        <w:t>219th LEGISLATURE</w:t>
      </w:r>
    </w:p>
    <w:p w:rsidR="00E34F6D" w:rsidRDefault="00E34F6D" w:rsidP="00E34F6D">
      <w:pPr>
        <w:pStyle w:val="bpuWpGraphic"/>
      </w:pPr>
      <w:r>
        <w:object w:dxaOrig="8985" w:dyaOrig="255">
          <v:shape id="_x0000_i1026" type="#_x0000_t75" style="width:6in;height:11.8pt" o:ole="">
            <v:imagedata r:id="rId7" o:title=""/>
          </v:shape>
          <o:OLEObject Type="Embed" ProgID="WPWin6.1" ShapeID="_x0000_i1026" DrawAspect="Content" ObjectID="_1703508628" r:id="rId9"/>
        </w:object>
      </w:r>
      <w:r>
        <w:t xml:space="preserve">  </w:t>
      </w:r>
    </w:p>
    <w:p w:rsidR="00E34F6D" w:rsidRDefault="00E34F6D" w:rsidP="00E34F6D">
      <w:pPr>
        <w:pStyle w:val="bpuIntro"/>
      </w:pPr>
      <w:r>
        <w:t>INTRODUCED NOVEMBER 15, 2021</w:t>
      </w:r>
    </w:p>
    <w:p w:rsidR="00E34F6D" w:rsidRDefault="00E34F6D" w:rsidP="00E34F6D">
      <w:pPr>
        <w:pStyle w:val="bpuIntro"/>
      </w:pPr>
    </w:p>
    <w:p w:rsidR="00E34F6D" w:rsidRDefault="00E34F6D" w:rsidP="00E34F6D">
      <w:pPr>
        <w:pStyle w:val="bpuIntro"/>
        <w:sectPr w:rsidR="00E34F6D" w:rsidSect="00B4448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4F6D" w:rsidRDefault="00E34F6D" w:rsidP="00E34F6D">
      <w:pPr>
        <w:pStyle w:val="bpuIntro"/>
      </w:pPr>
    </w:p>
    <w:p w:rsidR="00E34F6D" w:rsidRDefault="00E34F6D" w:rsidP="00E34F6D">
      <w:pPr>
        <w:pStyle w:val="bpuSponsor"/>
      </w:pPr>
      <w:r>
        <w:t>Sponsored by:</w:t>
      </w:r>
    </w:p>
    <w:p w:rsidR="00E34F6D" w:rsidRDefault="00E34F6D" w:rsidP="00E34F6D">
      <w:pPr>
        <w:pStyle w:val="bpuSponsor"/>
      </w:pPr>
      <w:r>
        <w:t>Senator  JOSEPH F. VITALE</w:t>
      </w:r>
    </w:p>
    <w:p w:rsidR="00E34F6D" w:rsidRDefault="00E34F6D" w:rsidP="00E34F6D">
      <w:pPr>
        <w:pStyle w:val="bpuSponsor"/>
      </w:pPr>
      <w:r>
        <w:t>District 19 (Middlesex)</w:t>
      </w:r>
    </w:p>
    <w:p w:rsidR="00E34F6D" w:rsidRDefault="00C63155" w:rsidP="00C63155">
      <w:pPr>
        <w:pStyle w:val="bpuSponsor"/>
      </w:pPr>
      <w:r>
        <w:t>Senator  NILSA I. CRUZ-PEREZ</w:t>
      </w:r>
    </w:p>
    <w:p w:rsidR="00C63155" w:rsidRDefault="00C63155" w:rsidP="00C63155">
      <w:pPr>
        <w:pStyle w:val="bpuSponsor"/>
      </w:pPr>
      <w:r>
        <w:t>District 5 (Camden and Gloucester)</w:t>
      </w:r>
    </w:p>
    <w:p w:rsidR="00C63155" w:rsidRDefault="00B4448D" w:rsidP="00B4448D">
      <w:pPr>
        <w:pStyle w:val="bpuSponsor"/>
      </w:pPr>
      <w:r>
        <w:t>Assemblywoman  YVONNE LOPEZ</w:t>
      </w:r>
    </w:p>
    <w:p w:rsidR="00B4448D" w:rsidRDefault="00B4448D" w:rsidP="00B4448D">
      <w:pPr>
        <w:pStyle w:val="bpuSponsor"/>
      </w:pPr>
      <w:r>
        <w:t>District 19 (Middlesex)</w:t>
      </w:r>
    </w:p>
    <w:p w:rsidR="00B4448D" w:rsidRPr="00B4448D" w:rsidRDefault="00B4448D" w:rsidP="00B4448D">
      <w:pPr>
        <w:pStyle w:val="bpuSponsor"/>
      </w:pPr>
    </w:p>
    <w:p w:rsidR="00E34F6D" w:rsidRDefault="00E34F6D" w:rsidP="00E34F6D">
      <w:pPr>
        <w:pStyle w:val="bpuSponsor"/>
      </w:pPr>
    </w:p>
    <w:p w:rsidR="00E34F6D" w:rsidRDefault="00E34F6D" w:rsidP="00E34F6D">
      <w:pPr>
        <w:pStyle w:val="bpuSponsor"/>
      </w:pPr>
    </w:p>
    <w:p w:rsidR="00E34F6D" w:rsidRDefault="00E34F6D" w:rsidP="00E34F6D">
      <w:pPr>
        <w:pStyle w:val="bpuSponsor"/>
      </w:pPr>
    </w:p>
    <w:p w:rsidR="00E34F6D" w:rsidRDefault="00E34F6D" w:rsidP="00E34F6D">
      <w:pPr>
        <w:pStyle w:val="bpuSponsor"/>
      </w:pPr>
      <w:r>
        <w:t>SYNOPSIS</w:t>
      </w:r>
    </w:p>
    <w:p w:rsidR="0099153C" w:rsidRDefault="0099153C" w:rsidP="0099153C">
      <w:pPr>
        <w:pStyle w:val="bpuNormText"/>
      </w:pPr>
      <w:r>
        <w:tab/>
        <w:t xml:space="preserve">Permits PERS retiree  to return to elective public office after retirement under certain circumstances. </w:t>
      </w:r>
    </w:p>
    <w:p w:rsidR="00E34F6D" w:rsidRDefault="00E34F6D" w:rsidP="00E34F6D">
      <w:pPr>
        <w:pStyle w:val="bpuNormText"/>
      </w:pPr>
    </w:p>
    <w:p w:rsidR="00E34F6D" w:rsidRDefault="00E34F6D" w:rsidP="00E34F6D">
      <w:pPr>
        <w:pStyle w:val="bpuSponsor"/>
      </w:pPr>
      <w:r>
        <w:t xml:space="preserve">CURRENT VERSION OF TEXT </w:t>
      </w:r>
    </w:p>
    <w:p w:rsidR="00E34F6D" w:rsidRDefault="0099153C" w:rsidP="00E34F6D">
      <w:pPr>
        <w:pStyle w:val="bpuNormText"/>
      </w:pPr>
      <w:r>
        <w:tab/>
        <w:t>As reported by the Senate Budget and Appropriations Committee on December 16, 2021, with amendments.</w:t>
      </w:r>
    </w:p>
    <w:p w:rsidR="00E34F6D" w:rsidRDefault="00E34F6D" w:rsidP="00E34F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4F6D" w:rsidRDefault="00E34F6D" w:rsidP="00122025">
      <w:pPr>
        <w:pStyle w:val="FronterPage"/>
        <w:tabs>
          <w:tab w:val="clear" w:pos="1440"/>
          <w:tab w:val="clear" w:pos="2160"/>
          <w:tab w:val="clear" w:pos="2880"/>
          <w:tab w:val="clear" w:pos="3600"/>
          <w:tab w:val="clear" w:pos="4320"/>
          <w:tab w:val="clear" w:pos="5040"/>
        </w:tabs>
        <w:sectPr w:rsidR="00E34F6D" w:rsidSect="00E34F6D">
          <w:type w:val="continuous"/>
          <w:pgSz w:w="12240" w:h="20160" w:code="5"/>
          <w:pgMar w:top="1440" w:right="2275" w:bottom="1440" w:left="2275" w:header="72" w:footer="720" w:gutter="0"/>
          <w:pgNumType w:start="1"/>
          <w:cols w:space="720"/>
          <w:docGrid w:linePitch="360"/>
        </w:sectPr>
      </w:pPr>
    </w:p>
    <w:p w:rsidR="0099153C" w:rsidRPr="00BA674C" w:rsidRDefault="0099153C" w:rsidP="0099153C">
      <w:pPr>
        <w:pStyle w:val="HangingAnAct"/>
        <w:rPr>
          <w:rStyle w:val="HangingAnActChar"/>
        </w:rPr>
      </w:pPr>
      <w:r w:rsidRPr="00BA674C">
        <w:rPr>
          <w:rStyle w:val="BillHead"/>
        </w:rPr>
        <w:lastRenderedPageBreak/>
        <w:t>An Act</w:t>
      </w:r>
      <w:r w:rsidRPr="00BA674C">
        <w:rPr>
          <w:rStyle w:val="HangingAnActChar"/>
        </w:rPr>
        <w:t xml:space="preserve"> concerning the </w:t>
      </w:r>
      <w:r>
        <w:rPr>
          <w:rStyle w:val="HangingAnActChar"/>
          <w:rFonts w:ascii="Albertus Extra Bold" w:hAnsi="Albertus Extra Bold"/>
          <w:b/>
          <w:vertAlign w:val="superscript"/>
        </w:rPr>
        <w:t>1</w:t>
      </w:r>
      <w:r w:rsidRPr="00FB4321">
        <w:rPr>
          <w:rStyle w:val="HangingAnActChar"/>
          <w:rFonts w:ascii="Albertus Extra Bold" w:hAnsi="Albertus Extra Bold"/>
          <w:b/>
        </w:rPr>
        <w:t>[</w:t>
      </w:r>
      <w:r w:rsidRPr="00BA674C">
        <w:rPr>
          <w:rStyle w:val="HangingAnActChar"/>
        </w:rPr>
        <w:t>retirement</w:t>
      </w:r>
      <w:r w:rsidRPr="00FB4321">
        <w:rPr>
          <w:rStyle w:val="HangingAnActChar"/>
        </w:rPr>
        <w:t xml:space="preserve"> </w:t>
      </w:r>
      <w:r w:rsidRPr="00BA674C">
        <w:rPr>
          <w:rStyle w:val="HangingAnActChar"/>
        </w:rPr>
        <w:t xml:space="preserve">of certain elected officials </w:t>
      </w:r>
      <w:r>
        <w:rPr>
          <w:rStyle w:val="HangingAnActChar"/>
        </w:rPr>
        <w:t>in</w:t>
      </w:r>
      <w:r w:rsidRPr="00FB4321">
        <w:rPr>
          <w:rStyle w:val="HangingAnActChar"/>
          <w:rFonts w:ascii="Albertus Extra Bold" w:hAnsi="Albertus Extra Bold"/>
          <w:b/>
        </w:rPr>
        <w:t>]</w:t>
      </w:r>
      <w:r>
        <w:rPr>
          <w:rStyle w:val="HangingAnActChar"/>
        </w:rPr>
        <w:t xml:space="preserve"> </w:t>
      </w:r>
      <w:r w:rsidRPr="00D40781">
        <w:rPr>
          <w:rStyle w:val="HangingAnActChar"/>
          <w:u w:val="single"/>
        </w:rPr>
        <w:t>return to elective public office by a retired member of</w:t>
      </w:r>
      <w:r w:rsidRPr="00D40781">
        <w:rPr>
          <w:rStyle w:val="HangingAnActChar"/>
          <w:rFonts w:ascii="Albertus Extra Bold" w:hAnsi="Albertus Extra Bold"/>
          <w:b/>
          <w:vertAlign w:val="superscript"/>
        </w:rPr>
        <w:t>1</w:t>
      </w:r>
      <w:r w:rsidRPr="00FB4321">
        <w:rPr>
          <w:rStyle w:val="HangingAnActChar"/>
        </w:rPr>
        <w:t xml:space="preserve"> </w:t>
      </w:r>
      <w:r w:rsidRPr="00BA674C">
        <w:rPr>
          <w:rStyle w:val="HangingAnActChar"/>
        </w:rPr>
        <w:t>the Public Employees’ Retirement System and supplementing P.L.1954, c.84 (C.43:15A-1 et seq.).</w:t>
      </w:r>
    </w:p>
    <w:p w:rsidR="000B1054" w:rsidRPr="00DD1D2F" w:rsidRDefault="000B1054" w:rsidP="000B1054"/>
    <w:p w:rsidR="00686AEB" w:rsidRPr="00DD1D2F" w:rsidRDefault="00686AEB" w:rsidP="00686AEB">
      <w:r w:rsidRPr="00DD1D2F">
        <w:tab/>
      </w:r>
      <w:r w:rsidR="00717351" w:rsidRPr="00DD1D2F">
        <w:rPr>
          <w:rStyle w:val="BillHeading2"/>
        </w:rPr>
        <w:t>Be It Enacted</w:t>
      </w:r>
      <w:r w:rsidRPr="00DD1D2F">
        <w:rPr>
          <w:rStyle w:val="BillHeading2"/>
        </w:rPr>
        <w:t xml:space="preserve"> </w:t>
      </w:r>
      <w:r w:rsidR="00717351" w:rsidRPr="00DD1D2F">
        <w:rPr>
          <w:rStyle w:val="BillLanguage"/>
        </w:rPr>
        <w:t>by the Senate and General Assembly of the State of New Jersey:</w:t>
      </w:r>
    </w:p>
    <w:p w:rsidR="00686AEB" w:rsidRPr="00DD1D2F" w:rsidRDefault="00686AEB" w:rsidP="00686AEB"/>
    <w:p w:rsidR="0099153C" w:rsidRDefault="0099153C" w:rsidP="0099153C">
      <w:pPr>
        <w:rPr>
          <w:rFonts w:ascii="Albertus Extra Bold" w:hAnsi="Albertus Extra Bold"/>
          <w:b/>
        </w:rPr>
      </w:pPr>
      <w:r>
        <w:tab/>
        <w:t>1.</w:t>
      </w:r>
      <w:r>
        <w:tab/>
      </w:r>
      <w:r>
        <w:rPr>
          <w:rFonts w:ascii="Albertus Extra Bold" w:hAnsi="Albertus Extra Bold"/>
          <w:b/>
          <w:vertAlign w:val="superscript"/>
        </w:rPr>
        <w:t>1</w:t>
      </w:r>
      <w:r w:rsidRPr="00FB4321">
        <w:rPr>
          <w:rFonts w:ascii="Albertus Extra Bold" w:hAnsi="Albertus Extra Bold"/>
          <w:b/>
        </w:rPr>
        <w:t>[</w:t>
      </w:r>
      <w:r w:rsidRPr="00BA674C">
        <w:t>Notwithstanding any provision of P.L.1954, c.84 (C.43:15A-1 et seq.) to the contrary, and except as may be otherwise provided in P.L.1972, c.167 (C.43:15A-135 et seq.), a member of the retirement system shall be eligible to retire while holding public office to which the member was elected and receiving the full salary for that office if the member's retirement allowance is not based solely on the member's service in the public office to which the member was elected. After the member retires, no contributions shall be required of the member covering that service in the public office.  A member who retires while holding public office to which the member was elected shall not be paid a salary or stipend for service as an elected official in that public office for a period of one year following the member’s date of retirement.</w:t>
      </w:r>
      <w:r w:rsidRPr="00FB4321">
        <w:rPr>
          <w:rFonts w:ascii="Albertus Extra Bold" w:hAnsi="Albertus Extra Bold"/>
          <w:b/>
        </w:rPr>
        <w:t>]</w:t>
      </w:r>
    </w:p>
    <w:p w:rsidR="0099153C" w:rsidRDefault="0099153C" w:rsidP="0099153C">
      <w:pPr>
        <w:rPr>
          <w:u w:val="single"/>
        </w:rPr>
      </w:pPr>
      <w:r>
        <w:rPr>
          <w:rFonts w:ascii="Albertus Extra Bold" w:hAnsi="Albertus Extra Bold"/>
          <w:b/>
        </w:rPr>
        <w:tab/>
      </w:r>
      <w:r w:rsidRPr="00176BE0">
        <w:rPr>
          <w:u w:val="single"/>
        </w:rPr>
        <w:t xml:space="preserve">A former member of the </w:t>
      </w:r>
      <w:r>
        <w:rPr>
          <w:u w:val="single"/>
        </w:rPr>
        <w:t>Public Employees’ Retirement S</w:t>
      </w:r>
      <w:r w:rsidRPr="00176BE0">
        <w:rPr>
          <w:u w:val="single"/>
        </w:rPr>
        <w:t>ystem who has been granted a retirement allowance</w:t>
      </w:r>
      <w:r>
        <w:rPr>
          <w:u w:val="single"/>
        </w:rPr>
        <w:t xml:space="preserve"> prior to, or on or after, the effective date of this act, P.L.      , c.         (pending before the Legislature as this bill)</w:t>
      </w:r>
      <w:r w:rsidRPr="00176BE0">
        <w:rPr>
          <w:u w:val="single"/>
        </w:rPr>
        <w:t xml:space="preserve">, for any cause other than disability, may </w:t>
      </w:r>
      <w:r>
        <w:rPr>
          <w:u w:val="single"/>
        </w:rPr>
        <w:t xml:space="preserve">return to an elective public office position </w:t>
      </w:r>
      <w:r w:rsidRPr="00176BE0">
        <w:rPr>
          <w:u w:val="single"/>
        </w:rPr>
        <w:t>with the former employer</w:t>
      </w:r>
      <w:r>
        <w:rPr>
          <w:u w:val="single"/>
        </w:rPr>
        <w:t>, either by appointment to fill a vacancy or by election, without cancellation of the retirement and reenrollment in the system if</w:t>
      </w:r>
      <w:r w:rsidRPr="00176BE0">
        <w:rPr>
          <w:u w:val="single"/>
        </w:rPr>
        <w:t xml:space="preserve">: (1) the </w:t>
      </w:r>
      <w:r>
        <w:rPr>
          <w:u w:val="single"/>
        </w:rPr>
        <w:t xml:space="preserve">return </w:t>
      </w:r>
      <w:r w:rsidRPr="00176BE0">
        <w:rPr>
          <w:u w:val="single"/>
        </w:rPr>
        <w:t xml:space="preserve">commences after the retirement allowance becomes due and payable; (2) the former member had attained the service retirement age, applicable to that member, as of the date of retirement; and (3) the compensation for the </w:t>
      </w:r>
      <w:r>
        <w:rPr>
          <w:u w:val="single"/>
        </w:rPr>
        <w:t xml:space="preserve">elective public office held </w:t>
      </w:r>
      <w:r w:rsidRPr="00176BE0">
        <w:rPr>
          <w:u w:val="single"/>
        </w:rPr>
        <w:t>is less than $1</w:t>
      </w:r>
      <w:r>
        <w:rPr>
          <w:u w:val="single"/>
        </w:rPr>
        <w:t>2</w:t>
      </w:r>
      <w:r w:rsidRPr="00176BE0">
        <w:rPr>
          <w:u w:val="single"/>
        </w:rPr>
        <w:t xml:space="preserve">,000 per year.  </w:t>
      </w:r>
    </w:p>
    <w:p w:rsidR="0099153C" w:rsidRDefault="0099153C" w:rsidP="0099153C">
      <w:pPr>
        <w:rPr>
          <w:u w:val="single"/>
        </w:rPr>
      </w:pPr>
      <w:r w:rsidRPr="00365278">
        <w:tab/>
      </w:r>
      <w:r w:rsidRPr="00176BE0">
        <w:rPr>
          <w:u w:val="single"/>
        </w:rPr>
        <w:t xml:space="preserve">This section shall be effective if the qualified status of the retirement system under federal law can be maintained upon its application, and such modifications to the system as may be available shall be made to allow for its application.  </w:t>
      </w:r>
    </w:p>
    <w:p w:rsidR="0099153C" w:rsidRDefault="0099153C" w:rsidP="0099153C">
      <w:r w:rsidRPr="00365278">
        <w:tab/>
      </w:r>
      <w:r w:rsidRPr="00176BE0">
        <w:rPr>
          <w:u w:val="single"/>
        </w:rPr>
        <w:t xml:space="preserve">As used in this section, "former employer" means the </w:t>
      </w:r>
      <w:r>
        <w:rPr>
          <w:u w:val="single"/>
        </w:rPr>
        <w:t>public entity</w:t>
      </w:r>
      <w:r w:rsidRPr="00176BE0">
        <w:rPr>
          <w:u w:val="single"/>
        </w:rPr>
        <w:t xml:space="preserve"> </w:t>
      </w:r>
      <w:r>
        <w:rPr>
          <w:u w:val="single"/>
        </w:rPr>
        <w:t xml:space="preserve">from </w:t>
      </w:r>
      <w:r w:rsidRPr="00176BE0">
        <w:rPr>
          <w:u w:val="single"/>
        </w:rPr>
        <w:t xml:space="preserve">which the former member </w:t>
      </w:r>
      <w:r>
        <w:rPr>
          <w:u w:val="single"/>
        </w:rPr>
        <w:t>retired from service</w:t>
      </w:r>
      <w:r w:rsidRPr="00176BE0">
        <w:rPr>
          <w:u w:val="single"/>
        </w:rPr>
        <w:t xml:space="preserve"> </w:t>
      </w:r>
      <w:r>
        <w:rPr>
          <w:u w:val="single"/>
        </w:rPr>
        <w:t xml:space="preserve">performed </w:t>
      </w:r>
      <w:r w:rsidRPr="00176BE0">
        <w:rPr>
          <w:u w:val="single"/>
        </w:rPr>
        <w:t>immediately prior to retirement.</w:t>
      </w:r>
      <w:r>
        <w:rPr>
          <w:rFonts w:ascii="Albertus Extra Bold" w:hAnsi="Albertus Extra Bold"/>
          <w:b/>
          <w:vertAlign w:val="superscript"/>
        </w:rPr>
        <w:t>1</w:t>
      </w:r>
      <w:r w:rsidRPr="00176BE0">
        <w:tab/>
      </w:r>
    </w:p>
    <w:p w:rsidR="00A420C1" w:rsidRPr="00DD1D2F" w:rsidRDefault="00A420C1" w:rsidP="00686AEB"/>
    <w:p w:rsidR="00686AEB" w:rsidRPr="00DD1D2F" w:rsidRDefault="00686AEB" w:rsidP="00686AEB">
      <w:r w:rsidRPr="00DD1D2F">
        <w:tab/>
      </w:r>
      <w:r w:rsidR="00A420C1" w:rsidRPr="00DD1D2F">
        <w:t>2</w:t>
      </w:r>
      <w:r w:rsidR="00717351" w:rsidRPr="00DD1D2F">
        <w:t>.</w:t>
      </w:r>
      <w:r w:rsidR="0065357D">
        <w:tab/>
      </w:r>
      <w:r w:rsidR="00717351" w:rsidRPr="00DD1D2F">
        <w:t>This act shall take effect</w:t>
      </w:r>
      <w:r w:rsidR="00A420C1" w:rsidRPr="00DD1D2F">
        <w:t xml:space="preserve"> immediately.</w:t>
      </w:r>
    </w:p>
    <w:sectPr w:rsidR="00686AEB" w:rsidRPr="00DD1D2F" w:rsidSect="00E34F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48C" w:rsidRDefault="00AF748C">
      <w:r>
        <w:separator/>
      </w:r>
    </w:p>
  </w:endnote>
  <w:endnote w:type="continuationSeparator" w:id="0">
    <w:p w:rsidR="00AF748C" w:rsidRDefault="00AF7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155" w:rsidRDefault="00B4448D" w:rsidP="00B4448D">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53C" w:rsidRPr="00921C91" w:rsidRDefault="009915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153C" w:rsidRPr="00921C91" w:rsidRDefault="0099153C">
    <w:pPr>
      <w:pStyle w:val="Footer"/>
      <w:rPr>
        <w:szCs w:val="18"/>
      </w:rPr>
    </w:pPr>
  </w:p>
  <w:p w:rsidR="0099153C" w:rsidRPr="00921C91" w:rsidRDefault="009915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153C" w:rsidRDefault="0099153C" w:rsidP="00686AEB">
    <w:pPr>
      <w:pStyle w:val="Footer"/>
    </w:pPr>
    <w:r>
      <w:tab/>
      <w:t>Matter enclosed in superscript numerals has been adopted as follows:</w:t>
    </w:r>
  </w:p>
  <w:p w:rsidR="0099153C" w:rsidRDefault="009915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99153C" w:rsidRPr="0099153C" w:rsidRDefault="0099153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48C" w:rsidRDefault="00AF748C">
      <w:r>
        <w:separator/>
      </w:r>
    </w:p>
  </w:footnote>
  <w:footnote w:type="continuationSeparator" w:id="0">
    <w:p w:rsidR="00AF748C" w:rsidRDefault="00AF7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30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F6D" w:rsidRDefault="00E34F6D" w:rsidP="00E34F6D">
    <w:pPr>
      <w:pStyle w:val="bpuHeadSpon"/>
    </w:pPr>
    <w:r w:rsidRPr="00E34F6D">
      <w:rPr>
        <w:rStyle w:val="bpuHeadSponChar"/>
      </w:rPr>
      <w:t>S4189</w:t>
    </w:r>
    <w:r>
      <w:t xml:space="preserve"> </w:t>
    </w:r>
    <w:r w:rsidR="0099153C">
      <w:t xml:space="preserve">[1R] </w:t>
    </w:r>
    <w:r>
      <w:t>VITALE</w:t>
    </w:r>
    <w:r w:rsidR="00C63155">
      <w:t>, CRUZ-PEREZ</w:t>
    </w:r>
  </w:p>
  <w:p w:rsidR="00E34F6D" w:rsidRDefault="00E34F6D" w:rsidP="00E34F6D">
    <w:pPr>
      <w:pStyle w:val="bpuHeadSpon"/>
    </w:pPr>
    <w:r>
      <w:fldChar w:fldCharType="begin"/>
    </w:r>
    <w:r>
      <w:instrText xml:space="preserve"> PAGE  \* MERGEFORMAT </w:instrText>
    </w:r>
    <w:r>
      <w:fldChar w:fldCharType="separate"/>
    </w:r>
    <w:r w:rsidR="0099153C">
      <w:rPr>
        <w:noProof/>
      </w:rPr>
      <w:t>3</w:t>
    </w:r>
    <w:r>
      <w:fldChar w:fldCharType="end"/>
    </w:r>
  </w:p>
  <w:p w:rsidR="00E34F6D" w:rsidRDefault="00E34F6D" w:rsidP="00E34F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F6D" w:rsidRDefault="00E34F6D" w:rsidP="00E34F6D">
    <w:pPr>
      <w:pStyle w:val="bpuHeadSpon"/>
    </w:pPr>
    <w:r w:rsidRPr="00E34F6D">
      <w:rPr>
        <w:rStyle w:val="bpuHeadSponChar"/>
      </w:rPr>
      <w:t>S4189</w:t>
    </w:r>
    <w:r>
      <w:t xml:space="preserve"> </w:t>
    </w:r>
    <w:r w:rsidR="0099153C">
      <w:t xml:space="preserve">[1R] </w:t>
    </w:r>
    <w:r>
      <w:t>VITALE</w:t>
    </w:r>
    <w:r w:rsidR="00C63155">
      <w:t>, CRUZ-PEREZ</w:t>
    </w:r>
  </w:p>
  <w:p w:rsidR="00E34F6D" w:rsidRDefault="00E34F6D" w:rsidP="00E34F6D">
    <w:pPr>
      <w:pStyle w:val="bpuHeadSpon"/>
    </w:pPr>
    <w:r>
      <w:fldChar w:fldCharType="begin"/>
    </w:r>
    <w:r>
      <w:instrText xml:space="preserve"> PAGE  \* MERGEFORMAT </w:instrText>
    </w:r>
    <w:r>
      <w:fldChar w:fldCharType="separate"/>
    </w:r>
    <w:r w:rsidR="00B03C40">
      <w:rPr>
        <w:noProof/>
      </w:rPr>
      <w:t>2</w:t>
    </w:r>
    <w:r>
      <w:fldChar w:fldCharType="end"/>
    </w:r>
  </w:p>
  <w:p w:rsidR="00E34F6D" w:rsidRDefault="00E34F6D" w:rsidP="00E34F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48C"/>
    <w:rsid w:val="0000014E"/>
    <w:rsid w:val="000051BD"/>
    <w:rsid w:val="000160A5"/>
    <w:rsid w:val="0002335B"/>
    <w:rsid w:val="0003549A"/>
    <w:rsid w:val="000367AE"/>
    <w:rsid w:val="000371C4"/>
    <w:rsid w:val="00043B22"/>
    <w:rsid w:val="00054975"/>
    <w:rsid w:val="00057D20"/>
    <w:rsid w:val="0006197C"/>
    <w:rsid w:val="0006281F"/>
    <w:rsid w:val="0008141C"/>
    <w:rsid w:val="00092F6B"/>
    <w:rsid w:val="00094A55"/>
    <w:rsid w:val="0009741E"/>
    <w:rsid w:val="000A44A7"/>
    <w:rsid w:val="000A7C2D"/>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611A"/>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6F16"/>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1D63"/>
    <w:rsid w:val="002B2E26"/>
    <w:rsid w:val="002B3DF0"/>
    <w:rsid w:val="002B3FE6"/>
    <w:rsid w:val="002C2D81"/>
    <w:rsid w:val="002C461E"/>
    <w:rsid w:val="002C6CEC"/>
    <w:rsid w:val="002D1DB1"/>
    <w:rsid w:val="002E09CE"/>
    <w:rsid w:val="002E2596"/>
    <w:rsid w:val="002E57E2"/>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146B"/>
    <w:rsid w:val="00382F1F"/>
    <w:rsid w:val="003840E5"/>
    <w:rsid w:val="00391DA4"/>
    <w:rsid w:val="003A0C96"/>
    <w:rsid w:val="003A1DA7"/>
    <w:rsid w:val="003A3C64"/>
    <w:rsid w:val="003A3F83"/>
    <w:rsid w:val="003C43EF"/>
    <w:rsid w:val="003C5927"/>
    <w:rsid w:val="003C5A6B"/>
    <w:rsid w:val="003C7FB2"/>
    <w:rsid w:val="003D24DE"/>
    <w:rsid w:val="003E26D4"/>
    <w:rsid w:val="003E47BA"/>
    <w:rsid w:val="003F3B37"/>
    <w:rsid w:val="0040195A"/>
    <w:rsid w:val="00402DC0"/>
    <w:rsid w:val="004113B0"/>
    <w:rsid w:val="00416C4B"/>
    <w:rsid w:val="0041751E"/>
    <w:rsid w:val="004211E5"/>
    <w:rsid w:val="00422091"/>
    <w:rsid w:val="00423437"/>
    <w:rsid w:val="0043386C"/>
    <w:rsid w:val="00436327"/>
    <w:rsid w:val="00436F2D"/>
    <w:rsid w:val="00436F5D"/>
    <w:rsid w:val="00441B42"/>
    <w:rsid w:val="0045118A"/>
    <w:rsid w:val="00455D51"/>
    <w:rsid w:val="00456BF9"/>
    <w:rsid w:val="00461057"/>
    <w:rsid w:val="004700BA"/>
    <w:rsid w:val="004704A8"/>
    <w:rsid w:val="00471102"/>
    <w:rsid w:val="00471F18"/>
    <w:rsid w:val="00482040"/>
    <w:rsid w:val="00484144"/>
    <w:rsid w:val="00484C19"/>
    <w:rsid w:val="00485866"/>
    <w:rsid w:val="00487E6C"/>
    <w:rsid w:val="00490561"/>
    <w:rsid w:val="00492076"/>
    <w:rsid w:val="00493B1D"/>
    <w:rsid w:val="00497037"/>
    <w:rsid w:val="004A3009"/>
    <w:rsid w:val="004A561D"/>
    <w:rsid w:val="004A6940"/>
    <w:rsid w:val="004A77A4"/>
    <w:rsid w:val="004C742C"/>
    <w:rsid w:val="004D7A0C"/>
    <w:rsid w:val="004E1F3E"/>
    <w:rsid w:val="004E21B2"/>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4379"/>
    <w:rsid w:val="005C7F3C"/>
    <w:rsid w:val="005D20FD"/>
    <w:rsid w:val="005E017C"/>
    <w:rsid w:val="005E30C6"/>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357D"/>
    <w:rsid w:val="00665CBC"/>
    <w:rsid w:val="00667A5C"/>
    <w:rsid w:val="00667D65"/>
    <w:rsid w:val="00677316"/>
    <w:rsid w:val="006804A8"/>
    <w:rsid w:val="00686AEB"/>
    <w:rsid w:val="006B7897"/>
    <w:rsid w:val="006B7FA7"/>
    <w:rsid w:val="006C01DD"/>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17351"/>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44DE"/>
    <w:rsid w:val="007A5A0B"/>
    <w:rsid w:val="007A6F93"/>
    <w:rsid w:val="007C0E14"/>
    <w:rsid w:val="007C503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7EC"/>
    <w:rsid w:val="00884D51"/>
    <w:rsid w:val="008916EC"/>
    <w:rsid w:val="00891E4F"/>
    <w:rsid w:val="008A31C5"/>
    <w:rsid w:val="008A4F9A"/>
    <w:rsid w:val="008B2850"/>
    <w:rsid w:val="008C79B3"/>
    <w:rsid w:val="008D1FB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53C"/>
    <w:rsid w:val="00995A7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3CF9"/>
    <w:rsid w:val="009F4FAC"/>
    <w:rsid w:val="00A017C0"/>
    <w:rsid w:val="00A11228"/>
    <w:rsid w:val="00A222C2"/>
    <w:rsid w:val="00A25845"/>
    <w:rsid w:val="00A305D6"/>
    <w:rsid w:val="00A342C4"/>
    <w:rsid w:val="00A347B7"/>
    <w:rsid w:val="00A420C1"/>
    <w:rsid w:val="00A50F6B"/>
    <w:rsid w:val="00A52237"/>
    <w:rsid w:val="00A551D6"/>
    <w:rsid w:val="00A6251B"/>
    <w:rsid w:val="00A6754E"/>
    <w:rsid w:val="00A70F58"/>
    <w:rsid w:val="00A72987"/>
    <w:rsid w:val="00A7346B"/>
    <w:rsid w:val="00A84C4F"/>
    <w:rsid w:val="00A932A1"/>
    <w:rsid w:val="00A96E06"/>
    <w:rsid w:val="00AA527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69F"/>
    <w:rsid w:val="00AF0DB9"/>
    <w:rsid w:val="00AF1A8C"/>
    <w:rsid w:val="00AF748C"/>
    <w:rsid w:val="00B0116D"/>
    <w:rsid w:val="00B01173"/>
    <w:rsid w:val="00B0280F"/>
    <w:rsid w:val="00B02F35"/>
    <w:rsid w:val="00B03C40"/>
    <w:rsid w:val="00B0491E"/>
    <w:rsid w:val="00B05A3C"/>
    <w:rsid w:val="00B07100"/>
    <w:rsid w:val="00B1138C"/>
    <w:rsid w:val="00B2574A"/>
    <w:rsid w:val="00B27362"/>
    <w:rsid w:val="00B35D8A"/>
    <w:rsid w:val="00B42580"/>
    <w:rsid w:val="00B4448D"/>
    <w:rsid w:val="00B45B34"/>
    <w:rsid w:val="00B57047"/>
    <w:rsid w:val="00B61D86"/>
    <w:rsid w:val="00B6342D"/>
    <w:rsid w:val="00B726BD"/>
    <w:rsid w:val="00B732BC"/>
    <w:rsid w:val="00B90E33"/>
    <w:rsid w:val="00B9676B"/>
    <w:rsid w:val="00BA2EA5"/>
    <w:rsid w:val="00BA364B"/>
    <w:rsid w:val="00BB0BE3"/>
    <w:rsid w:val="00BB1190"/>
    <w:rsid w:val="00BB31D0"/>
    <w:rsid w:val="00BB3A11"/>
    <w:rsid w:val="00BB4DDB"/>
    <w:rsid w:val="00BB5D79"/>
    <w:rsid w:val="00BB5F02"/>
    <w:rsid w:val="00BC7892"/>
    <w:rsid w:val="00BE038D"/>
    <w:rsid w:val="00BE24D6"/>
    <w:rsid w:val="00BE7EFA"/>
    <w:rsid w:val="00BF06AD"/>
    <w:rsid w:val="00BF2C67"/>
    <w:rsid w:val="00BF358B"/>
    <w:rsid w:val="00BF5C56"/>
    <w:rsid w:val="00C04F4D"/>
    <w:rsid w:val="00C12E48"/>
    <w:rsid w:val="00C13D14"/>
    <w:rsid w:val="00C15F53"/>
    <w:rsid w:val="00C23F09"/>
    <w:rsid w:val="00C24467"/>
    <w:rsid w:val="00C25356"/>
    <w:rsid w:val="00C328D0"/>
    <w:rsid w:val="00C3333D"/>
    <w:rsid w:val="00C46BC1"/>
    <w:rsid w:val="00C5235F"/>
    <w:rsid w:val="00C54CE2"/>
    <w:rsid w:val="00C63155"/>
    <w:rsid w:val="00C661F1"/>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74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E31"/>
    <w:rsid w:val="00D17FF8"/>
    <w:rsid w:val="00D201D7"/>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106"/>
    <w:rsid w:val="00DA5585"/>
    <w:rsid w:val="00DB02AC"/>
    <w:rsid w:val="00DB6AA2"/>
    <w:rsid w:val="00DC4E8B"/>
    <w:rsid w:val="00DC5BD9"/>
    <w:rsid w:val="00DD1D2F"/>
    <w:rsid w:val="00DE10D1"/>
    <w:rsid w:val="00DE2514"/>
    <w:rsid w:val="00DE6851"/>
    <w:rsid w:val="00DF03EE"/>
    <w:rsid w:val="00E01B71"/>
    <w:rsid w:val="00E05CC9"/>
    <w:rsid w:val="00E15573"/>
    <w:rsid w:val="00E25A5B"/>
    <w:rsid w:val="00E34F6D"/>
    <w:rsid w:val="00E373C7"/>
    <w:rsid w:val="00E4267B"/>
    <w:rsid w:val="00E42F13"/>
    <w:rsid w:val="00E44D54"/>
    <w:rsid w:val="00E452DF"/>
    <w:rsid w:val="00E543CF"/>
    <w:rsid w:val="00E546FD"/>
    <w:rsid w:val="00E608F1"/>
    <w:rsid w:val="00E611B9"/>
    <w:rsid w:val="00E7144F"/>
    <w:rsid w:val="00E73D74"/>
    <w:rsid w:val="00E76A79"/>
    <w:rsid w:val="00E80692"/>
    <w:rsid w:val="00E80C24"/>
    <w:rsid w:val="00E93836"/>
    <w:rsid w:val="00EA7C16"/>
    <w:rsid w:val="00EB726C"/>
    <w:rsid w:val="00EC5281"/>
    <w:rsid w:val="00EC791D"/>
    <w:rsid w:val="00EC7CA6"/>
    <w:rsid w:val="00ED3C5D"/>
    <w:rsid w:val="00ED4553"/>
    <w:rsid w:val="00ED572D"/>
    <w:rsid w:val="00EE47AE"/>
    <w:rsid w:val="00EF0905"/>
    <w:rsid w:val="00F00D08"/>
    <w:rsid w:val="00F017BB"/>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3483"/>
    <w:rsid w:val="00F80AAC"/>
    <w:rsid w:val="00F96C16"/>
    <w:rsid w:val="00FA0AFC"/>
    <w:rsid w:val="00FA13DD"/>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918FDA-2F35-42C5-B68A-7CA3D2C5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371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1C4"/>
    <w:rPr>
      <w:rFonts w:ascii="Segoe UI" w:hAnsi="Segoe UI" w:cs="Segoe UI"/>
      <w:spacing w:val="4"/>
      <w:sz w:val="18"/>
      <w:szCs w:val="18"/>
    </w:rPr>
  </w:style>
  <w:style w:type="character" w:styleId="LineNumber">
    <w:name w:val="line number"/>
    <w:basedOn w:val="DefaultParagraphFont"/>
    <w:semiHidden/>
    <w:unhideWhenUsed/>
    <w:rsid w:val="00E34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2683E-9604-4648-8785-FC30F5818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457</Words>
  <Characters>2392</Characters>
  <Application>Microsoft Office Word</Application>
  <DocSecurity>0</DocSecurity>
  <Lines>73</Lines>
  <Paragraphs>23</Paragraphs>
  <ScaleCrop>false</ScaleCrop>
  <HeadingPairs>
    <vt:vector size="2" baseType="variant">
      <vt:variant>
        <vt:lpstr>Title</vt:lpstr>
      </vt:variant>
      <vt:variant>
        <vt:i4>1</vt:i4>
      </vt:variant>
    </vt:vector>
  </HeadingPairs>
  <TitlesOfParts>
    <vt:vector size="1" baseType="lpstr">
      <vt:lpstr>S4189</vt:lpstr>
    </vt:vector>
  </TitlesOfParts>
  <Manager>R225</Manager>
  <Company>NJ Office of Legislative Services</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S4189 1R</dc:title>
  <dc:subject/>
  <dc:creator>Senator  VITALE</dc:creator>
  <cp:keywords>S4189|2|SG |76|328|310|!|0|</cp:keywords>
  <dc:description>INTRODUCED NOVEMBER 15, 2021_x000d_
Amended 12/16/21</dc:description>
  <cp:lastModifiedBy>Todaro, Vivian</cp:lastModifiedBy>
  <cp:revision>2</cp:revision>
  <cp:lastPrinted>2022-01-12T21:04:00Z</cp:lastPrinted>
  <dcterms:created xsi:type="dcterms:W3CDTF">2022-01-12T21:04:00Z</dcterms:created>
  <dcterms:modified xsi:type="dcterms:W3CDTF">2022-01-12T21:04:00Z</dcterms:modified>
  <cp:category>s.1: C.43:15A-47.4_x000d_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