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0F0E4E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HEALTH, HUMAN SERVICES AND SENIOR CITIZENS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0F0E4E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4191</w:t>
      </w:r>
      <w:r w:rsidR="0063703D" w:rsidRPr="00ED5E27">
        <w:rPr>
          <w:b/>
          <w:sz w:val="36"/>
          <w:szCs w:val="36"/>
        </w:rPr>
        <w:t xml:space="preserve"> </w:t>
      </w:r>
    </w:p>
    <w:p w:rsidR="00056252" w:rsidRPr="009D3E7B" w:rsidRDefault="00056252" w:rsidP="00056252">
      <w:pPr>
        <w:pStyle w:val="TopofPage1"/>
        <w:rPr>
          <w:b/>
          <w:sz w:val="24"/>
          <w:szCs w:val="24"/>
        </w:rPr>
      </w:pPr>
    </w:p>
    <w:p w:rsidR="00056252" w:rsidRPr="00AF1251" w:rsidRDefault="00056252" w:rsidP="00056252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0F0E4E">
        <w:rPr>
          <w:caps/>
          <w:szCs w:val="24"/>
        </w:rPr>
        <w:t>DECEMBER 6, 2021</w:t>
      </w:r>
    </w:p>
    <w:p w:rsidR="004144CF" w:rsidRDefault="004144CF" w:rsidP="0083060A"/>
    <w:p w:rsidR="00756CC1" w:rsidRPr="00756CC1" w:rsidRDefault="00756CC1" w:rsidP="00756CC1">
      <w:r w:rsidRPr="00756CC1">
        <w:tab/>
        <w:t xml:space="preserve">The Senate Health, Human Services and Senior Citizens Committee reports favorably </w:t>
      </w:r>
      <w:r w:rsidR="00056252">
        <w:t xml:space="preserve">and with committee amendments </w:t>
      </w:r>
      <w:r w:rsidRPr="00756CC1">
        <w:t>Senate Bill No.</w:t>
      </w:r>
      <w:r>
        <w:t xml:space="preserve"> 4191.</w:t>
      </w:r>
    </w:p>
    <w:p w:rsidR="00756CC1" w:rsidRPr="00756CC1" w:rsidRDefault="00756CC1" w:rsidP="00756CC1">
      <w:r w:rsidRPr="00756CC1">
        <w:tab/>
      </w:r>
      <w:r w:rsidR="00056252">
        <w:t>As amended by the committee, t</w:t>
      </w:r>
      <w:r w:rsidRPr="00756CC1">
        <w:t xml:space="preserve">his bill prohibits landlords from initiating adverse possessory actions against an operator of a hospital, or a successor to the operator, without first obtaining written approval for the action from the </w:t>
      </w:r>
      <w:r w:rsidR="00FC1455">
        <w:t>D</w:t>
      </w:r>
      <w:r w:rsidRPr="00756CC1">
        <w:t>epartment</w:t>
      </w:r>
      <w:r w:rsidR="00FC1455">
        <w:t xml:space="preserve"> of Health (DOH)</w:t>
      </w:r>
      <w:r w:rsidRPr="00756CC1">
        <w:t xml:space="preserve">. An adverse possessory action initiated without the written approval of the </w:t>
      </w:r>
      <w:r w:rsidR="00FC1455">
        <w:t xml:space="preserve">DOH </w:t>
      </w:r>
      <w:r w:rsidRPr="00756CC1">
        <w:t xml:space="preserve">will be deemed invalid. The </w:t>
      </w:r>
      <w:r w:rsidR="00FC1455">
        <w:t xml:space="preserve">DOH </w:t>
      </w:r>
      <w:r w:rsidRPr="00756CC1">
        <w:t>is to establish a process for landlords to submit requests to initiate adverse possessory actions, and will have the authority to approve requests upon finding that just cause exists for the adverse possessory action.</w:t>
      </w:r>
    </w:p>
    <w:p w:rsidR="00756CC1" w:rsidRPr="00756CC1" w:rsidRDefault="00756CC1" w:rsidP="00756CC1">
      <w:r w:rsidRPr="00756CC1">
        <w:tab/>
        <w:t xml:space="preserve">A landlord that initiates an adverse possessory action against an operator or successor without written approval by the </w:t>
      </w:r>
      <w:r w:rsidR="00FC1455">
        <w:t xml:space="preserve">DOH </w:t>
      </w:r>
      <w:r w:rsidRPr="00756CC1">
        <w:t xml:space="preserve">will be liable to a civil penalty of up to $1,000,000.  The </w:t>
      </w:r>
      <w:r w:rsidR="00FC1455">
        <w:t>DOH</w:t>
      </w:r>
      <w:r w:rsidRPr="00756CC1">
        <w:t xml:space="preserve"> </w:t>
      </w:r>
      <w:r w:rsidR="00FC1455">
        <w:t>wi</w:t>
      </w:r>
      <w:r w:rsidRPr="00756CC1">
        <w:t xml:space="preserve">ll also suspend or revoke any license or permit granted by the </w:t>
      </w:r>
      <w:r w:rsidR="00FC1455">
        <w:t xml:space="preserve">DOH </w:t>
      </w:r>
      <w:r w:rsidRPr="00756CC1">
        <w:t xml:space="preserve">to the landlord due to violation of the act.  To the extent an adverse possessory action taken without </w:t>
      </w:r>
      <w:r w:rsidR="00FC1455">
        <w:t xml:space="preserve">DOH </w:t>
      </w:r>
      <w:r w:rsidRPr="00756CC1">
        <w:t xml:space="preserve">approval results in the loss of revenue to a hospital, the operator or successor, as applicable, </w:t>
      </w:r>
      <w:r w:rsidR="00FC1455">
        <w:t>wi</w:t>
      </w:r>
      <w:r w:rsidRPr="00756CC1">
        <w:t>ll be entitled to financial recovery from the landlord to the extent necessary to place the hospital in as good a position as if such adverse possessory action had not o</w:t>
      </w:r>
      <w:r w:rsidR="00FC1455">
        <w:t>ccurred, as determined by court-</w:t>
      </w:r>
      <w:r w:rsidRPr="00756CC1">
        <w:t xml:space="preserve">appointed arbitration.  A landlord that willfully violates </w:t>
      </w:r>
      <w:r w:rsidR="00FC1455">
        <w:t xml:space="preserve">the provisions of the bill </w:t>
      </w:r>
      <w:r w:rsidRPr="00756CC1">
        <w:t xml:space="preserve">in a manner </w:t>
      </w:r>
      <w:r w:rsidR="00FC1455">
        <w:t xml:space="preserve">that </w:t>
      </w:r>
      <w:r w:rsidRPr="00756CC1">
        <w:t xml:space="preserve">results in the closure of a hospital or that interferes with the transition of the maintenance, supervision, or operation of a hospital from an operator to a successor as approved by the </w:t>
      </w:r>
      <w:r w:rsidR="00FC1455">
        <w:t>DOH</w:t>
      </w:r>
      <w:r w:rsidRPr="00756CC1">
        <w:t xml:space="preserve"> </w:t>
      </w:r>
      <w:r w:rsidR="00FC1455">
        <w:t xml:space="preserve">will </w:t>
      </w:r>
      <w:r w:rsidRPr="00756CC1">
        <w:t>be subject to criminal penalties imposed for disorderly persons offenses.</w:t>
      </w:r>
    </w:p>
    <w:p w:rsidR="00655CA3" w:rsidRDefault="00756CC1" w:rsidP="00756CC1">
      <w:r w:rsidRPr="00756CC1">
        <w:tab/>
      </w:r>
      <w:r w:rsidR="00056252">
        <w:t>As amended, t</w:t>
      </w:r>
      <w:r w:rsidRPr="00756CC1">
        <w:t>he bill will take effect 30 days after the date of enactment.</w:t>
      </w:r>
    </w:p>
    <w:p w:rsidR="004B2ABF" w:rsidRDefault="004B2ABF" w:rsidP="0083060A"/>
    <w:p w:rsidR="00056252" w:rsidRDefault="00056252" w:rsidP="0083060A">
      <w:r>
        <w:rPr>
          <w:u w:val="double"/>
        </w:rPr>
        <w:t>COMMITTEE AMENDMENTS:</w:t>
      </w:r>
    </w:p>
    <w:p w:rsidR="00056252" w:rsidRDefault="00056252" w:rsidP="0083060A">
      <w:r>
        <w:tab/>
        <w:t>The committee amendments add a rulemaking section to the bill.</w:t>
      </w:r>
    </w:p>
    <w:p w:rsidR="00056252" w:rsidRPr="00056252" w:rsidRDefault="00056252" w:rsidP="0083060A">
      <w:r>
        <w:tab/>
        <w:t>The committee amendments remove a provision making the bill applicable retroactively.</w:t>
      </w:r>
      <w:r w:rsidR="00983604" w:rsidRPr="00056252">
        <w:t xml:space="preserve"> </w:t>
      </w:r>
    </w:p>
    <w:sectPr w:rsidR="00056252" w:rsidRPr="00056252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0E4E" w:rsidRDefault="000F0E4E">
      <w:r>
        <w:separator/>
      </w:r>
    </w:p>
  </w:endnote>
  <w:endnote w:type="continuationSeparator" w:id="0">
    <w:p w:rsidR="000F0E4E" w:rsidRDefault="000F0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0E4E" w:rsidRDefault="000F0E4E">
      <w:r>
        <w:separator/>
      </w:r>
    </w:p>
  </w:footnote>
  <w:footnote w:type="continuationSeparator" w:id="0">
    <w:p w:rsidR="000F0E4E" w:rsidRDefault="000F0E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983604" w:rsidP="0098360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983604" w:rsidRDefault="00983604" w:rsidP="0098360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E4E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56252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0E4E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299A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47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6CC1"/>
    <w:rsid w:val="0075754A"/>
    <w:rsid w:val="00760429"/>
    <w:rsid w:val="00764991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3136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604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A7E06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6553A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455"/>
    <w:rsid w:val="00FC1FE0"/>
    <w:rsid w:val="00FC397B"/>
    <w:rsid w:val="00FC4539"/>
    <w:rsid w:val="00FC52FB"/>
    <w:rsid w:val="00FC7741"/>
    <w:rsid w:val="00FD00DD"/>
    <w:rsid w:val="00FD21A1"/>
    <w:rsid w:val="00FD418C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A21756C0-41A5-4722-9C60-697C39F55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D6553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655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346</Words>
  <Characters>1819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S4191 SHH Statement 12/6/21</vt:lpstr>
    </vt:vector>
  </TitlesOfParts>
  <Manager>R224</Manager>
  <Company>NJ OLS DMU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S4191 SHH Statement 12/6/21</dc:title>
  <dc:subject/>
  <dc:creator>Senate SHH  </dc:creator>
  <cp:keywords>S4191|1|HS |259|0|0|!||</cp:keywords>
  <dc:description/>
  <cp:lastModifiedBy>Franks, Denise</cp:lastModifiedBy>
  <cp:revision>2</cp:revision>
  <cp:lastPrinted>2021-12-07T18:10:00Z</cp:lastPrinted>
  <dcterms:created xsi:type="dcterms:W3CDTF">2021-12-07T19:41:00Z</dcterms:created>
  <dcterms:modified xsi:type="dcterms:W3CDTF">2021-12-07T19:41:00Z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