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774C" w:rsidRDefault="007E774C" w:rsidP="007E774C">
      <w:pPr>
        <w:pStyle w:val="bpuBill"/>
      </w:pPr>
      <w:bookmarkStart w:id="0" w:name="bpuFrontPg"/>
      <w:bookmarkStart w:id="1" w:name="_GoBack"/>
      <w:bookmarkEnd w:id="0"/>
      <w:bookmarkEnd w:id="1"/>
      <w:r>
        <w:t xml:space="preserve">SENATE, No. 4215 </w:t>
      </w:r>
    </w:p>
    <w:p w:rsidR="007E774C" w:rsidRPr="009D38FF" w:rsidRDefault="007E774C" w:rsidP="007E774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8" o:title=""/>
          </v:shape>
          <o:OLEObject Type="Embed" ProgID="WPWin6.1" ShapeID="_x0000_i1025" DrawAspect="Content" ObjectID="_1700035667" r:id="rId9"/>
        </w:object>
      </w:r>
    </w:p>
    <w:p w:rsidR="007E774C" w:rsidRDefault="007E774C" w:rsidP="007E774C">
      <w:pPr>
        <w:pStyle w:val="bpuState"/>
      </w:pPr>
      <w:r>
        <w:t>STATE OF NEW JERSEY</w:t>
      </w:r>
    </w:p>
    <w:p w:rsidR="007E774C" w:rsidRDefault="007E774C" w:rsidP="007E774C">
      <w:pPr>
        <w:pStyle w:val="bpuLegislature"/>
      </w:pPr>
      <w:r>
        <w:t>219th LEGISLATURE</w:t>
      </w:r>
    </w:p>
    <w:p w:rsidR="007E774C" w:rsidRDefault="007E774C" w:rsidP="007E774C">
      <w:pPr>
        <w:pStyle w:val="bpuWpGraphic"/>
      </w:pPr>
      <w:r>
        <w:object w:dxaOrig="8985" w:dyaOrig="255">
          <v:shape id="_x0000_i1026" type="#_x0000_t75" style="width:6in;height:12.1pt" o:ole="">
            <v:imagedata r:id="rId8" o:title=""/>
          </v:shape>
          <o:OLEObject Type="Embed" ProgID="WPWin6.1" ShapeID="_x0000_i1026" DrawAspect="Content" ObjectID="_1700035668" r:id="rId10"/>
        </w:object>
      </w:r>
      <w:r>
        <w:t xml:space="preserve">  </w:t>
      </w:r>
    </w:p>
    <w:p w:rsidR="007E774C" w:rsidRDefault="007E774C" w:rsidP="007E774C">
      <w:pPr>
        <w:pStyle w:val="bpuIntro"/>
      </w:pPr>
      <w:r>
        <w:t>INTRODUCED DECEMBER 2, 2021</w:t>
      </w:r>
    </w:p>
    <w:p w:rsidR="007E774C" w:rsidRDefault="007E774C" w:rsidP="007E774C">
      <w:pPr>
        <w:pStyle w:val="bpuIntro"/>
      </w:pPr>
    </w:p>
    <w:p w:rsidR="007E774C" w:rsidRDefault="007E774C" w:rsidP="007E774C">
      <w:pPr>
        <w:pStyle w:val="bpuIntro"/>
        <w:sectPr w:rsidR="007E774C" w:rsidSect="007E774C">
          <w:headerReference w:type="even" r:id="rId11"/>
          <w:headerReference w:type="default" r:id="rId12"/>
          <w:pgSz w:w="12240" w:h="20160" w:code="5"/>
          <w:pgMar w:top="2160" w:right="1440" w:bottom="1440" w:left="1440" w:header="72" w:footer="720" w:gutter="0"/>
          <w:pgNumType w:start="1"/>
          <w:cols w:space="720"/>
          <w:docGrid w:linePitch="360"/>
        </w:sectPr>
      </w:pPr>
    </w:p>
    <w:p w:rsidR="007E774C" w:rsidRDefault="007E774C" w:rsidP="007E774C">
      <w:pPr>
        <w:pStyle w:val="bpuIntro"/>
      </w:pPr>
    </w:p>
    <w:p w:rsidR="007E774C" w:rsidRDefault="007E774C" w:rsidP="007E774C">
      <w:pPr>
        <w:pStyle w:val="bpuSponsor"/>
      </w:pPr>
      <w:r>
        <w:t>Sponsored by:</w:t>
      </w:r>
    </w:p>
    <w:p w:rsidR="007E774C" w:rsidRDefault="007E774C" w:rsidP="007E774C">
      <w:pPr>
        <w:pStyle w:val="bpuSponsor"/>
      </w:pPr>
      <w:r>
        <w:t>Senator  LINDA R. GREENSTEIN</w:t>
      </w:r>
    </w:p>
    <w:p w:rsidR="007E774C" w:rsidRDefault="007E774C" w:rsidP="007E774C">
      <w:pPr>
        <w:pStyle w:val="bpuSponsor"/>
      </w:pPr>
      <w:r>
        <w:t>District 14 (Mercer and Middlesex)</w:t>
      </w:r>
    </w:p>
    <w:p w:rsidR="007E774C" w:rsidRDefault="007E774C" w:rsidP="007E774C">
      <w:pPr>
        <w:pStyle w:val="bpuSponsor"/>
      </w:pPr>
    </w:p>
    <w:p w:rsidR="007E774C" w:rsidRDefault="007E774C" w:rsidP="007E774C">
      <w:pPr>
        <w:pStyle w:val="bpuSponsor"/>
      </w:pPr>
    </w:p>
    <w:p w:rsidR="007E774C" w:rsidRDefault="007E774C" w:rsidP="007E774C">
      <w:pPr>
        <w:pStyle w:val="bpuSponsor"/>
      </w:pPr>
    </w:p>
    <w:p w:rsidR="007E774C" w:rsidRDefault="007E774C" w:rsidP="007E774C">
      <w:pPr>
        <w:pStyle w:val="bpuSponsor"/>
      </w:pPr>
    </w:p>
    <w:p w:rsidR="007E774C" w:rsidRDefault="007E774C" w:rsidP="007E774C">
      <w:pPr>
        <w:pStyle w:val="bpuSponsor"/>
      </w:pPr>
      <w:r>
        <w:t>SYNOPSIS</w:t>
      </w:r>
    </w:p>
    <w:p w:rsidR="007E774C" w:rsidRDefault="007E774C" w:rsidP="007E774C">
      <w:pPr>
        <w:pStyle w:val="bpuNormText"/>
      </w:pPr>
      <w:r>
        <w:tab/>
        <w:t xml:space="preserve">Supplemental appropriation of $2,000,000 to fund Center on Gun Violence Research. </w:t>
      </w:r>
    </w:p>
    <w:p w:rsidR="007E774C" w:rsidRDefault="007E774C" w:rsidP="007E774C">
      <w:pPr>
        <w:pStyle w:val="bpuNormText"/>
      </w:pPr>
    </w:p>
    <w:p w:rsidR="007E774C" w:rsidRDefault="007E774C" w:rsidP="007E774C">
      <w:pPr>
        <w:pStyle w:val="bpuSponsor"/>
      </w:pPr>
      <w:r>
        <w:t xml:space="preserve">CURRENT VERSION OF TEXT </w:t>
      </w:r>
    </w:p>
    <w:p w:rsidR="007E774C" w:rsidRDefault="007E774C" w:rsidP="007E774C">
      <w:pPr>
        <w:pStyle w:val="bpuNormText"/>
      </w:pPr>
      <w:r>
        <w:tab/>
        <w:t>As introduced.</w:t>
      </w:r>
    </w:p>
    <w:p w:rsidR="007E774C" w:rsidRDefault="007E774C" w:rsidP="007E774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E774C" w:rsidRDefault="007E774C" w:rsidP="00122025">
      <w:pPr>
        <w:pStyle w:val="FronterPage"/>
        <w:tabs>
          <w:tab w:val="clear" w:pos="1440"/>
          <w:tab w:val="clear" w:pos="2160"/>
          <w:tab w:val="clear" w:pos="2880"/>
          <w:tab w:val="clear" w:pos="3600"/>
          <w:tab w:val="clear" w:pos="4320"/>
          <w:tab w:val="clear" w:pos="5040"/>
        </w:tabs>
        <w:sectPr w:rsidR="007E774C" w:rsidSect="007E774C">
          <w:type w:val="continuous"/>
          <w:pgSz w:w="12240" w:h="20160" w:code="5"/>
          <w:pgMar w:top="1440" w:right="2275" w:bottom="1440" w:left="2275" w:header="72" w:footer="720" w:gutter="0"/>
          <w:pgNumType w:start="1"/>
          <w:cols w:space="720"/>
          <w:docGrid w:linePitch="360"/>
        </w:sectPr>
      </w:pPr>
    </w:p>
    <w:p w:rsidR="00686AEB" w:rsidRPr="00677316" w:rsidRDefault="008A51E6" w:rsidP="003E47BA">
      <w:pPr>
        <w:pStyle w:val="HangingAnAct"/>
        <w:rPr>
          <w:rStyle w:val="HangingAnActChar"/>
        </w:rPr>
      </w:pPr>
      <w:r>
        <w:rPr>
          <w:rStyle w:val="BillHead"/>
        </w:rPr>
        <w:lastRenderedPageBreak/>
        <w:t>A Supplement</w:t>
      </w:r>
      <w:r w:rsidR="00686AEB" w:rsidRPr="006B7FA7">
        <w:rPr>
          <w:rStyle w:val="HangingAnActChar"/>
        </w:rPr>
        <w:t xml:space="preserve"> </w:t>
      </w:r>
      <w:r>
        <w:rPr>
          <w:rStyle w:val="HangingAnActChar"/>
        </w:rPr>
        <w:t>to the annual appropriations act for the fiscal year ending June 30, 2022, P.L.2021, c.133.</w:t>
      </w:r>
    </w:p>
    <w:p w:rsidR="000B1054" w:rsidRPr="00D71D68" w:rsidRDefault="000B1054" w:rsidP="000B1054"/>
    <w:p w:rsidR="00686AEB" w:rsidRPr="00AA7880" w:rsidRDefault="00686AEB" w:rsidP="00686AEB">
      <w:r>
        <w:tab/>
      </w:r>
      <w:r w:rsidR="008A51E6">
        <w:rPr>
          <w:rStyle w:val="BillHeading2"/>
        </w:rPr>
        <w:t>Be It Enacted</w:t>
      </w:r>
      <w:r>
        <w:rPr>
          <w:rStyle w:val="BillHeading2"/>
        </w:rPr>
        <w:t xml:space="preserve"> </w:t>
      </w:r>
      <w:r w:rsidR="008A51E6">
        <w:rPr>
          <w:rStyle w:val="BillLanguage"/>
        </w:rPr>
        <w:t>by the Senate and the General Assembly of the State of New Jersey:</w:t>
      </w:r>
    </w:p>
    <w:p w:rsidR="00686AEB" w:rsidRPr="00D71D68" w:rsidRDefault="00686AEB" w:rsidP="00686AEB"/>
    <w:p w:rsidR="00686AEB" w:rsidRDefault="00686AEB" w:rsidP="00686AEB">
      <w:r>
        <w:tab/>
      </w:r>
      <w:r w:rsidR="008A51E6">
        <w:t>1.  In addition to the amounts appropriated under P.L.2021, c.133, the annual appropriations act for the fiscal year ending June 30, 2022, there is appropriated from the General Fund the following amount for the purpose specified:</w:t>
      </w:r>
    </w:p>
    <w:p w:rsidR="008A51E6" w:rsidRDefault="008A51E6" w:rsidP="00686AEB"/>
    <w:p w:rsidR="00DA5E2A" w:rsidRDefault="00DA4C03" w:rsidP="008A51E6">
      <w:pPr>
        <w:jc w:val="center"/>
        <w:rPr>
          <w:b/>
          <w:sz w:val="26"/>
        </w:rPr>
      </w:pPr>
      <w:r>
        <w:rPr>
          <w:b/>
          <w:sz w:val="26"/>
        </w:rPr>
        <w:t>74</w:t>
      </w:r>
      <w:r w:rsidR="00DA5E2A">
        <w:rPr>
          <w:b/>
          <w:sz w:val="26"/>
        </w:rPr>
        <w:t xml:space="preserve"> DEPARTMENT OF </w:t>
      </w:r>
      <w:r>
        <w:rPr>
          <w:b/>
          <w:sz w:val="26"/>
        </w:rPr>
        <w:t>STATE</w:t>
      </w:r>
    </w:p>
    <w:p w:rsidR="00DA4C03" w:rsidRDefault="00DA4C03" w:rsidP="008A51E6">
      <w:pPr>
        <w:jc w:val="center"/>
        <w:rPr>
          <w:b/>
          <w:i/>
          <w:sz w:val="22"/>
        </w:rPr>
      </w:pPr>
      <w:r>
        <w:rPr>
          <w:b/>
          <w:i/>
          <w:sz w:val="22"/>
        </w:rPr>
        <w:t>30 Educational, Cultural, and Intellectual Development</w:t>
      </w:r>
    </w:p>
    <w:p w:rsidR="008A51E6" w:rsidRDefault="00DA4C03" w:rsidP="008A51E6">
      <w:pPr>
        <w:jc w:val="center"/>
        <w:rPr>
          <w:b/>
          <w:i/>
          <w:sz w:val="22"/>
        </w:rPr>
      </w:pPr>
      <w:r>
        <w:rPr>
          <w:b/>
          <w:i/>
          <w:sz w:val="22"/>
        </w:rPr>
        <w:t>36</w:t>
      </w:r>
      <w:r w:rsidR="00DA5E2A">
        <w:rPr>
          <w:b/>
          <w:i/>
          <w:sz w:val="22"/>
        </w:rPr>
        <w:t xml:space="preserve"> </w:t>
      </w:r>
      <w:r w:rsidR="00D90024">
        <w:rPr>
          <w:b/>
          <w:i/>
          <w:sz w:val="22"/>
        </w:rPr>
        <w:t>Higher Educational Services</w:t>
      </w:r>
      <w:r w:rsidR="00DA5E2A">
        <w:rPr>
          <w:b/>
          <w:i/>
          <w:sz w:val="22"/>
        </w:rPr>
        <w:t xml:space="preserve"> </w:t>
      </w:r>
    </w:p>
    <w:p w:rsidR="008A51E6" w:rsidRDefault="00D90024" w:rsidP="008A51E6">
      <w:pPr>
        <w:jc w:val="center"/>
        <w:rPr>
          <w:b/>
          <w:i/>
          <w:sz w:val="22"/>
        </w:rPr>
      </w:pPr>
      <w:r>
        <w:rPr>
          <w:b/>
          <w:i/>
          <w:sz w:val="22"/>
        </w:rPr>
        <w:t>2400</w:t>
      </w:r>
      <w:r w:rsidR="008A51E6">
        <w:rPr>
          <w:b/>
          <w:i/>
          <w:sz w:val="22"/>
        </w:rPr>
        <w:t xml:space="preserve"> </w:t>
      </w:r>
      <w:r>
        <w:rPr>
          <w:b/>
          <w:i/>
          <w:sz w:val="22"/>
        </w:rPr>
        <w:t>Office of the Secretary of Higher Education</w:t>
      </w:r>
    </w:p>
    <w:p w:rsidR="008A51E6" w:rsidRDefault="008A51E6" w:rsidP="008A51E6">
      <w:pPr>
        <w:jc w:val="center"/>
        <w:rPr>
          <w:b/>
          <w:i/>
          <w:sz w:val="22"/>
        </w:rPr>
      </w:pPr>
    </w:p>
    <w:p w:rsidR="008A51E6" w:rsidRDefault="00D90024" w:rsidP="008A51E6">
      <w:pPr>
        <w:jc w:val="center"/>
        <w:rPr>
          <w:b/>
          <w:sz w:val="22"/>
          <w:u w:val="single"/>
        </w:rPr>
      </w:pPr>
      <w:r>
        <w:rPr>
          <w:b/>
          <w:sz w:val="22"/>
          <w:u w:val="single"/>
        </w:rPr>
        <w:t>GRANTS-IN-AID</w:t>
      </w:r>
    </w:p>
    <w:p w:rsidR="008A51E6" w:rsidRDefault="00D90024" w:rsidP="008A51E6">
      <w:pPr>
        <w:pStyle w:val="HangingTableTop"/>
        <w:tabs>
          <w:tab w:val="left" w:pos="936"/>
          <w:tab w:val="right" w:leader="dot" w:pos="6840"/>
        </w:tabs>
      </w:pPr>
      <w:r>
        <w:t>80</w:t>
      </w:r>
      <w:r w:rsidR="008A51E6">
        <w:t>-</w:t>
      </w:r>
      <w:r>
        <w:t>2400</w:t>
      </w:r>
      <w:r w:rsidR="008A51E6">
        <w:tab/>
      </w:r>
      <w:r w:rsidRPr="00D90024">
        <w:t xml:space="preserve">Office of the Secretary of Higher Education </w:t>
      </w:r>
      <w:r w:rsidR="008A51E6">
        <w:tab/>
        <w:t>$</w:t>
      </w:r>
      <w:r w:rsidR="00B54931">
        <w:t>2,000,00</w:t>
      </w:r>
      <w:r w:rsidR="008A51E6">
        <w:t>0</w:t>
      </w:r>
    </w:p>
    <w:p w:rsidR="008A51E6" w:rsidRDefault="008A51E6" w:rsidP="008A51E6">
      <w:pPr>
        <w:pStyle w:val="HangingTableTop"/>
        <w:tabs>
          <w:tab w:val="left" w:pos="994"/>
          <w:tab w:val="right" w:pos="6840"/>
        </w:tabs>
      </w:pPr>
      <w:r>
        <w:tab/>
        <w:t xml:space="preserve">Total </w:t>
      </w:r>
      <w:r w:rsidR="00B54931">
        <w:t>Grant</w:t>
      </w:r>
      <w:r w:rsidR="0068178E">
        <w:t>s</w:t>
      </w:r>
      <w:r w:rsidR="00B54931">
        <w:t>-in-Aid</w:t>
      </w:r>
      <w:r>
        <w:t xml:space="preserve"> appropriation,</w:t>
      </w:r>
      <w:r>
        <w:tab/>
      </w:r>
    </w:p>
    <w:p w:rsidR="008A51E6" w:rsidRDefault="008A51E6" w:rsidP="008A51E6">
      <w:pPr>
        <w:pStyle w:val="HangingTableTop"/>
        <w:tabs>
          <w:tab w:val="left" w:pos="1440"/>
          <w:tab w:val="right" w:leader="dot" w:pos="6840"/>
        </w:tabs>
      </w:pPr>
      <w:r>
        <w:tab/>
      </w:r>
      <w:r w:rsidR="00B54931">
        <w:t>Higher Education Services</w:t>
      </w:r>
      <w:r>
        <w:t xml:space="preserve"> </w:t>
      </w:r>
      <w:r>
        <w:tab/>
        <w:t>$</w:t>
      </w:r>
      <w:r w:rsidR="00E6726F">
        <w:t>2,000,000</w:t>
      </w:r>
    </w:p>
    <w:p w:rsidR="008A51E6" w:rsidRDefault="00B54931" w:rsidP="008A51E6">
      <w:r>
        <w:rPr>
          <w:b/>
          <w:i/>
        </w:rPr>
        <w:t>Grants-in-Aid</w:t>
      </w:r>
      <w:r w:rsidR="008A51E6">
        <w:rPr>
          <w:b/>
          <w:i/>
        </w:rPr>
        <w:t>:</w:t>
      </w:r>
    </w:p>
    <w:p w:rsidR="008A51E6" w:rsidRDefault="008A51E6" w:rsidP="008A51E6">
      <w:pPr>
        <w:pStyle w:val="HangingTableBottom"/>
        <w:tabs>
          <w:tab w:val="left" w:pos="547"/>
          <w:tab w:val="left" w:pos="994"/>
          <w:tab w:val="right" w:leader="dot" w:pos="6120"/>
        </w:tabs>
      </w:pPr>
      <w:r>
        <w:tab/>
      </w:r>
      <w:r w:rsidR="00E6726F">
        <w:t>80</w:t>
      </w:r>
      <w:r>
        <w:tab/>
      </w:r>
      <w:r w:rsidR="00E6726F">
        <w:t>Center on Gun Violence Research</w:t>
      </w:r>
      <w:r>
        <w:tab/>
        <w:t>$</w:t>
      </w:r>
      <w:r w:rsidR="00E6726F">
        <w:t>2,000,00</w:t>
      </w:r>
      <w:r>
        <w:t>0</w:t>
      </w:r>
    </w:p>
    <w:p w:rsidR="008A51E6" w:rsidRDefault="008A51E6" w:rsidP="008A51E6"/>
    <w:p w:rsidR="008A51E6" w:rsidRDefault="0088686E" w:rsidP="0088686E">
      <w:r>
        <w:tab/>
      </w:r>
      <w:r w:rsidR="0048497A">
        <w:t>Th</w:t>
      </w:r>
      <w:r w:rsidR="00B54931">
        <w:t>e amounts hereinabove appropriated for the Center on Gun Violence Research, an amount not to exceed $</w:t>
      </w:r>
      <w:r w:rsidR="00E6726F">
        <w:t>2</w:t>
      </w:r>
      <w:r w:rsidR="00B54931">
        <w:t>,000,000, subject to the approval of the Director of the Division of Budget and Accounting, is appropriated to support interdisciplinary research on the causes and consequences of, and solutions to, gun-related violence.</w:t>
      </w:r>
    </w:p>
    <w:p w:rsidR="008A51E6" w:rsidRDefault="008A51E6" w:rsidP="008A51E6"/>
    <w:p w:rsidR="008A51E6" w:rsidRDefault="00FD0D46" w:rsidP="008A51E6">
      <w:r>
        <w:tab/>
        <w:t>2.</w:t>
      </w:r>
      <w:r>
        <w:tab/>
      </w:r>
      <w:r w:rsidR="008A51E6">
        <w:t>This act shall take effect immediately.</w:t>
      </w:r>
    </w:p>
    <w:p w:rsidR="008A51E6" w:rsidRDefault="008A51E6" w:rsidP="008A51E6"/>
    <w:p w:rsidR="001D73D9" w:rsidRPr="008A51E6" w:rsidRDefault="001D73D9" w:rsidP="008A51E6"/>
    <w:p w:rsidR="00686AEB" w:rsidRPr="009B52FF" w:rsidRDefault="00686AEB" w:rsidP="00686AEB">
      <w:pPr>
        <w:jc w:val="center"/>
      </w:pPr>
      <w:r w:rsidRPr="009B52FF">
        <w:t>STATEMENT</w:t>
      </w:r>
    </w:p>
    <w:p w:rsidR="009B34C3" w:rsidRDefault="009B34C3" w:rsidP="009B34C3"/>
    <w:p w:rsidR="009B52FF" w:rsidRDefault="009B52FF" w:rsidP="009B52FF">
      <w:r>
        <w:tab/>
        <w:t xml:space="preserve">This bill appropriates </w:t>
      </w:r>
      <w:r w:rsidRPr="009B52FF">
        <w:t xml:space="preserve">$2,000,000 to fund </w:t>
      </w:r>
      <w:r w:rsidR="0048497A">
        <w:t xml:space="preserve">the Center on </w:t>
      </w:r>
      <w:r w:rsidRPr="009B52FF">
        <w:t>Gun Violence Research</w:t>
      </w:r>
      <w:r>
        <w:t xml:space="preserve"> through the </w:t>
      </w:r>
      <w:r w:rsidRPr="009B52FF">
        <w:t>New Jersey Office of th</w:t>
      </w:r>
      <w:r w:rsidR="000A6FA1">
        <w:t>e Secretary of Higher Education.</w:t>
      </w:r>
    </w:p>
    <w:p w:rsidR="009B34C3" w:rsidRDefault="009B34C3" w:rsidP="009B34C3">
      <w:r>
        <w:tab/>
      </w:r>
      <w:r w:rsidR="000A6FA1">
        <w:t xml:space="preserve">Currently, </w:t>
      </w:r>
      <w:r w:rsidR="00460CB6">
        <w:t>t</w:t>
      </w:r>
      <w:r w:rsidR="0083667C">
        <w:t xml:space="preserve">he State of </w:t>
      </w:r>
      <w:r w:rsidR="000A6FA1">
        <w:t xml:space="preserve">New Jersey funds </w:t>
      </w:r>
      <w:r w:rsidR="0083667C">
        <w:t xml:space="preserve">the </w:t>
      </w:r>
      <w:r w:rsidR="000A6FA1">
        <w:t>Rutgers</w:t>
      </w:r>
      <w:r w:rsidR="008705B8">
        <w:t xml:space="preserve"> New Jersey</w:t>
      </w:r>
      <w:r w:rsidR="000A6FA1">
        <w:t xml:space="preserve"> </w:t>
      </w:r>
      <w:r>
        <w:t>Gun Violence Research Center</w:t>
      </w:r>
      <w:r w:rsidR="000A6FA1">
        <w:t xml:space="preserve"> (GVRC)</w:t>
      </w:r>
      <w:r w:rsidR="0048497A">
        <w:t xml:space="preserve"> to research causes of gun violence and prevention.</w:t>
      </w:r>
      <w:r w:rsidR="0083667C">
        <w:t xml:space="preserve"> According to GVRC, the center </w:t>
      </w:r>
      <w:r>
        <w:t xml:space="preserve">is among the first state funded research centers in the United States that conduct interdisciplinary research on the causes, consequences, and solutions to gun-related violence, while respecting the rights </w:t>
      </w:r>
      <w:r w:rsidR="0048497A">
        <w:t>to legally and safely own and use a gun</w:t>
      </w:r>
      <w:r w:rsidR="000A6FA1">
        <w:t>.</w:t>
      </w:r>
    </w:p>
    <w:p w:rsidR="0083667C" w:rsidRDefault="009B34C3" w:rsidP="009B34C3">
      <w:r>
        <w:tab/>
        <w:t xml:space="preserve">The GVRC is jointly led by the Rutgers Schools of Public Health and Criminal Justice and incorporates faculty from among Rutgers’ </w:t>
      </w:r>
      <w:r>
        <w:lastRenderedPageBreak/>
        <w:t xml:space="preserve">more than 30 </w:t>
      </w:r>
      <w:r w:rsidR="0083667C">
        <w:t>s</w:t>
      </w:r>
      <w:r>
        <w:t xml:space="preserve">chools and </w:t>
      </w:r>
      <w:r w:rsidR="0083667C">
        <w:t>c</w:t>
      </w:r>
      <w:r>
        <w:t xml:space="preserve">olleges, spanning multiple campuses across the </w:t>
      </w:r>
      <w:r w:rsidR="0083667C">
        <w:t>S</w:t>
      </w:r>
      <w:r w:rsidR="0048497A">
        <w:t>tate</w:t>
      </w:r>
      <w:r>
        <w:t xml:space="preserve">. </w:t>
      </w:r>
    </w:p>
    <w:p w:rsidR="009B34C3" w:rsidRDefault="0083667C" w:rsidP="009B34C3">
      <w:r>
        <w:tab/>
      </w:r>
      <w:r w:rsidR="0048497A">
        <w:t>The GVRC consists of four main c</w:t>
      </w:r>
      <w:r w:rsidR="009B34C3">
        <w:t>ore areas:</w:t>
      </w:r>
    </w:p>
    <w:p w:rsidR="009B34C3" w:rsidRDefault="009B34C3" w:rsidP="009B34C3">
      <w:r>
        <w:t>•</w:t>
      </w:r>
      <w:r>
        <w:tab/>
        <w:t>Data Core</w:t>
      </w:r>
      <w:r w:rsidR="0083667C">
        <w:t xml:space="preserve"> is </w:t>
      </w:r>
      <w:r>
        <w:t>responsible for facilitating data linkage, generating epidemiological reports, and informing research needs</w:t>
      </w:r>
      <w:r w:rsidR="0083667C">
        <w:t>;</w:t>
      </w:r>
    </w:p>
    <w:p w:rsidR="009B34C3" w:rsidRDefault="009B34C3" w:rsidP="009B34C3">
      <w:r>
        <w:t>•</w:t>
      </w:r>
      <w:r>
        <w:tab/>
        <w:t>Research Core</w:t>
      </w:r>
      <w:r w:rsidR="0083667C">
        <w:t xml:space="preserve"> is </w:t>
      </w:r>
      <w:r>
        <w:t>responsible for overseeing the peer-reviewed research award process, supporting research projects, and setting the Center agenda and research priorities</w:t>
      </w:r>
      <w:r w:rsidR="0083667C">
        <w:t>;</w:t>
      </w:r>
    </w:p>
    <w:p w:rsidR="009B34C3" w:rsidRDefault="009B34C3" w:rsidP="009B34C3">
      <w:r>
        <w:t>•</w:t>
      </w:r>
      <w:r>
        <w:tab/>
        <w:t>Training and Education Core conducts the training and education program, prioritized by research findings and strategic plans</w:t>
      </w:r>
      <w:r w:rsidR="0083667C">
        <w:t>; and</w:t>
      </w:r>
    </w:p>
    <w:p w:rsidR="0048497A" w:rsidRDefault="009B34C3" w:rsidP="009B34C3">
      <w:r>
        <w:t>•</w:t>
      </w:r>
      <w:r>
        <w:tab/>
        <w:t>Outreach Core</w:t>
      </w:r>
      <w:r w:rsidR="0083667C">
        <w:t xml:space="preserve"> is</w:t>
      </w:r>
      <w:r>
        <w:t xml:space="preserve"> responsible for bridging the research-to-practice and practice-to-research continuum, linking and communicating with governmental and non-governmental bodies, and engaging practitioners and community members.</w:t>
      </w:r>
    </w:p>
    <w:p w:rsidR="0048497A" w:rsidRDefault="0048497A" w:rsidP="009B34C3">
      <w:r>
        <w:tab/>
      </w:r>
      <w:r w:rsidR="00BB4A67">
        <w:t xml:space="preserve">Since FY 2019, the State has annually funded the </w:t>
      </w:r>
      <w:r w:rsidR="00BB4A67" w:rsidRPr="009B52FF">
        <w:t>Center on Gun Violence Research</w:t>
      </w:r>
      <w:r w:rsidR="00BB4A67">
        <w:t xml:space="preserve"> </w:t>
      </w:r>
      <w:r w:rsidR="00F84385">
        <w:t xml:space="preserve">through a </w:t>
      </w:r>
      <w:r w:rsidR="00BB4A67">
        <w:t xml:space="preserve">$2 million </w:t>
      </w:r>
      <w:r w:rsidR="00F84385">
        <w:t>appropriation w</w:t>
      </w:r>
      <w:r w:rsidR="00BB4A67">
        <w:t>ith the exception of FY 2021.  In FY 2021, the State appropriated $500,000.</w:t>
      </w:r>
      <w:r>
        <w:t xml:space="preserve"> </w:t>
      </w:r>
    </w:p>
    <w:p w:rsidR="00686AEB" w:rsidRDefault="000A6FA1" w:rsidP="009B34C3">
      <w:r>
        <w:tab/>
        <w:t>Th</w:t>
      </w:r>
      <w:r w:rsidR="0083667C">
        <w:t xml:space="preserve">is </w:t>
      </w:r>
      <w:r w:rsidR="00460CB6">
        <w:t xml:space="preserve">supplemental </w:t>
      </w:r>
      <w:r w:rsidR="0083667C">
        <w:t xml:space="preserve">appropriation </w:t>
      </w:r>
      <w:r>
        <w:t xml:space="preserve">will continue </w:t>
      </w:r>
      <w:r w:rsidR="0083667C">
        <w:t xml:space="preserve">the </w:t>
      </w:r>
      <w:r w:rsidR="0048497A">
        <w:t xml:space="preserve">State’s </w:t>
      </w:r>
      <w:r>
        <w:t xml:space="preserve">support of </w:t>
      </w:r>
      <w:r w:rsidRPr="000A6FA1">
        <w:t>interdisciplinary research on the causes and consequences of, and solutions to, gun-related violence.</w:t>
      </w:r>
    </w:p>
    <w:sectPr w:rsidR="00686AEB" w:rsidSect="007E774C">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3C2D" w:rsidRDefault="007B3C2D">
      <w:r>
        <w:separator/>
      </w:r>
    </w:p>
  </w:endnote>
  <w:endnote w:type="continuationSeparator" w:id="0">
    <w:p w:rsidR="007B3C2D" w:rsidRDefault="007B3C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3C2D" w:rsidRDefault="007B3C2D">
      <w:r>
        <w:separator/>
      </w:r>
    </w:p>
  </w:footnote>
  <w:footnote w:type="continuationSeparator" w:id="0">
    <w:p w:rsidR="007B3C2D" w:rsidRDefault="007B3C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C030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E774C" w:rsidRDefault="007E774C" w:rsidP="007E774C">
    <w:pPr>
      <w:pStyle w:val="bpuHeadSpon"/>
    </w:pPr>
    <w:r w:rsidRPr="007E774C">
      <w:rPr>
        <w:rStyle w:val="bpuHeadSponChar"/>
      </w:rPr>
      <w:t>S4215</w:t>
    </w:r>
    <w:r>
      <w:t xml:space="preserve"> GREENSTEIN</w:t>
    </w:r>
  </w:p>
  <w:p w:rsidR="007E774C" w:rsidRDefault="007E774C" w:rsidP="007E774C">
    <w:pPr>
      <w:pStyle w:val="bpuHeadSpon"/>
    </w:pPr>
    <w:r>
      <w:fldChar w:fldCharType="begin"/>
    </w:r>
    <w:r>
      <w:instrText xml:space="preserve"> PAGE  \* MERGEFORMAT </w:instrText>
    </w:r>
    <w:r>
      <w:fldChar w:fldCharType="separate"/>
    </w:r>
    <w:r w:rsidR="009C0302">
      <w:rPr>
        <w:noProof/>
      </w:rPr>
      <w:t>3</w:t>
    </w:r>
    <w:r>
      <w:fldChar w:fldCharType="end"/>
    </w:r>
  </w:p>
  <w:p w:rsidR="007E774C" w:rsidRDefault="007E774C" w:rsidP="007E774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E774C" w:rsidRDefault="007E774C" w:rsidP="007E774C">
    <w:pPr>
      <w:pStyle w:val="bpuHeadSpon"/>
    </w:pPr>
    <w:r w:rsidRPr="007E774C">
      <w:rPr>
        <w:rStyle w:val="bpuHeadSponChar"/>
      </w:rPr>
      <w:t>S4215</w:t>
    </w:r>
    <w:r>
      <w:t xml:space="preserve"> GREENSTEIN</w:t>
    </w:r>
  </w:p>
  <w:p w:rsidR="007E774C" w:rsidRDefault="007E774C" w:rsidP="007E774C">
    <w:pPr>
      <w:pStyle w:val="bpuHeadSpon"/>
    </w:pPr>
    <w:r>
      <w:fldChar w:fldCharType="begin"/>
    </w:r>
    <w:r>
      <w:instrText xml:space="preserve"> PAGE  \* MERGEFORMAT </w:instrText>
    </w:r>
    <w:r>
      <w:fldChar w:fldCharType="separate"/>
    </w:r>
    <w:r w:rsidR="009C0302">
      <w:rPr>
        <w:noProof/>
      </w:rPr>
      <w:t>2</w:t>
    </w:r>
    <w:r>
      <w:fldChar w:fldCharType="end"/>
    </w:r>
  </w:p>
  <w:p w:rsidR="007E774C" w:rsidRDefault="007E774C" w:rsidP="007E774C">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616DB1"/>
    <w:multiLevelType w:val="hybridMultilevel"/>
    <w:tmpl w:val="A3F814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3C2D"/>
    <w:rsid w:val="000051BD"/>
    <w:rsid w:val="00012595"/>
    <w:rsid w:val="000160A5"/>
    <w:rsid w:val="0002335B"/>
    <w:rsid w:val="0003549A"/>
    <w:rsid w:val="000367AE"/>
    <w:rsid w:val="00043B22"/>
    <w:rsid w:val="00054975"/>
    <w:rsid w:val="00057D20"/>
    <w:rsid w:val="0006197C"/>
    <w:rsid w:val="0006281F"/>
    <w:rsid w:val="0008141C"/>
    <w:rsid w:val="00092F6B"/>
    <w:rsid w:val="00094A55"/>
    <w:rsid w:val="000A44A7"/>
    <w:rsid w:val="000A6FA1"/>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D73D9"/>
    <w:rsid w:val="001E15F1"/>
    <w:rsid w:val="001E16FA"/>
    <w:rsid w:val="001E6213"/>
    <w:rsid w:val="001F14C7"/>
    <w:rsid w:val="001F7405"/>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D4012"/>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0CB6"/>
    <w:rsid w:val="00461057"/>
    <w:rsid w:val="004700BA"/>
    <w:rsid w:val="004704A8"/>
    <w:rsid w:val="00471102"/>
    <w:rsid w:val="00471F18"/>
    <w:rsid w:val="00484144"/>
    <w:rsid w:val="0048497A"/>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178E"/>
    <w:rsid w:val="00685DB4"/>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B3C2D"/>
    <w:rsid w:val="007C0E14"/>
    <w:rsid w:val="007C7DE4"/>
    <w:rsid w:val="007D40CB"/>
    <w:rsid w:val="007D5796"/>
    <w:rsid w:val="007D59C0"/>
    <w:rsid w:val="007D7D9C"/>
    <w:rsid w:val="007E774C"/>
    <w:rsid w:val="007F485D"/>
    <w:rsid w:val="007F6050"/>
    <w:rsid w:val="00813627"/>
    <w:rsid w:val="00832816"/>
    <w:rsid w:val="0083667C"/>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05B8"/>
    <w:rsid w:val="00875402"/>
    <w:rsid w:val="00884D51"/>
    <w:rsid w:val="0088686E"/>
    <w:rsid w:val="008916EC"/>
    <w:rsid w:val="00891E4F"/>
    <w:rsid w:val="008A31C5"/>
    <w:rsid w:val="008A4F9A"/>
    <w:rsid w:val="008A51E6"/>
    <w:rsid w:val="008B2850"/>
    <w:rsid w:val="008C79B3"/>
    <w:rsid w:val="008D1EA8"/>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C3"/>
    <w:rsid w:val="009B34EC"/>
    <w:rsid w:val="009B52FF"/>
    <w:rsid w:val="009B5D67"/>
    <w:rsid w:val="009B6176"/>
    <w:rsid w:val="009C0302"/>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48D5"/>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4931"/>
    <w:rsid w:val="00B57047"/>
    <w:rsid w:val="00B61D86"/>
    <w:rsid w:val="00B6342D"/>
    <w:rsid w:val="00B726BD"/>
    <w:rsid w:val="00B732BC"/>
    <w:rsid w:val="00B90E33"/>
    <w:rsid w:val="00B9676B"/>
    <w:rsid w:val="00BA2EA5"/>
    <w:rsid w:val="00BA364B"/>
    <w:rsid w:val="00BB1190"/>
    <w:rsid w:val="00BB31D0"/>
    <w:rsid w:val="00BB3A11"/>
    <w:rsid w:val="00BB4A67"/>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45CE"/>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00FE"/>
    <w:rsid w:val="00D343D0"/>
    <w:rsid w:val="00D3664D"/>
    <w:rsid w:val="00D500E9"/>
    <w:rsid w:val="00D507BC"/>
    <w:rsid w:val="00D6090A"/>
    <w:rsid w:val="00D62FA3"/>
    <w:rsid w:val="00D63A8C"/>
    <w:rsid w:val="00D63B6F"/>
    <w:rsid w:val="00D64A90"/>
    <w:rsid w:val="00D72B6E"/>
    <w:rsid w:val="00D90024"/>
    <w:rsid w:val="00D9410B"/>
    <w:rsid w:val="00D9695B"/>
    <w:rsid w:val="00DA2417"/>
    <w:rsid w:val="00DA4C03"/>
    <w:rsid w:val="00DA5585"/>
    <w:rsid w:val="00DA5E2A"/>
    <w:rsid w:val="00DB02AC"/>
    <w:rsid w:val="00DB6AA2"/>
    <w:rsid w:val="00DC4E8B"/>
    <w:rsid w:val="00DC5BD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726F"/>
    <w:rsid w:val="00E7144F"/>
    <w:rsid w:val="00E73D74"/>
    <w:rsid w:val="00E76A79"/>
    <w:rsid w:val="00E80692"/>
    <w:rsid w:val="00E80C24"/>
    <w:rsid w:val="00E93836"/>
    <w:rsid w:val="00EA7C16"/>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77D71"/>
    <w:rsid w:val="00F80AAC"/>
    <w:rsid w:val="00F84385"/>
    <w:rsid w:val="00FA0AFC"/>
    <w:rsid w:val="00FA1C82"/>
    <w:rsid w:val="00FA2ED1"/>
    <w:rsid w:val="00FA4A52"/>
    <w:rsid w:val="00FA66C9"/>
    <w:rsid w:val="00FB4045"/>
    <w:rsid w:val="00FB4D8E"/>
    <w:rsid w:val="00FC0D0A"/>
    <w:rsid w:val="00FC1B0B"/>
    <w:rsid w:val="00FD0D46"/>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F714BED-25A0-44F9-94A7-E0705511A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ListParagraph">
    <w:name w:val="List Paragraph"/>
    <w:basedOn w:val="Normal"/>
    <w:uiPriority w:val="34"/>
    <w:qFormat/>
    <w:rsid w:val="00AA48D5"/>
    <w:pPr>
      <w:ind w:left="720"/>
      <w:contextualSpacing/>
    </w:pPr>
  </w:style>
  <w:style w:type="paragraph" w:styleId="BalloonText">
    <w:name w:val="Balloon Text"/>
    <w:basedOn w:val="Normal"/>
    <w:link w:val="BalloonTextChar"/>
    <w:semiHidden/>
    <w:unhideWhenUsed/>
    <w:rsid w:val="0083667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3667C"/>
    <w:rPr>
      <w:rFonts w:ascii="Segoe UI" w:hAnsi="Segoe UI" w:cs="Segoe UI"/>
      <w:spacing w:val="4"/>
      <w:sz w:val="18"/>
      <w:szCs w:val="18"/>
    </w:rPr>
  </w:style>
  <w:style w:type="character" w:styleId="LineNumber">
    <w:name w:val="line number"/>
    <w:basedOn w:val="DefaultParagraphFont"/>
    <w:semiHidden/>
    <w:unhideWhenUsed/>
    <w:rsid w:val="007E77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A4486D-82A3-44D5-83F2-366C83BA4A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479</Words>
  <Characters>2817</Characters>
  <Application>Microsoft Office Word</Application>
  <DocSecurity>0</DocSecurity>
  <Lines>92</Lines>
  <Paragraphs>37</Paragraphs>
  <ScaleCrop>false</ScaleCrop>
  <HeadingPairs>
    <vt:vector size="2" baseType="variant">
      <vt:variant>
        <vt:lpstr>Title</vt:lpstr>
      </vt:variant>
      <vt:variant>
        <vt:i4>1</vt:i4>
      </vt:variant>
    </vt:vector>
  </HeadingPairs>
  <TitlesOfParts>
    <vt:vector size="1" baseType="lpstr">
      <vt:lpstr>S4215</vt:lpstr>
    </vt:vector>
  </TitlesOfParts>
  <Manager>R229</Manager>
  <Company>NJ Office of Legislative Services</Company>
  <LinksUpToDate>false</LinksUpToDate>
  <CharactersWithSpaces>3293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S4215</dc:title>
  <dc:subject/>
  <dc:creator>Senator  GREENSTEIN</dc:creator>
  <cp:keywords>S4215|3|LP |207|160|92|F|0|</cp:keywords>
  <dc:description>INTRODUCED DECEMBER 2, 2021</dc:description>
  <cp:lastModifiedBy>Bell, Careema</cp:lastModifiedBy>
  <cp:revision>2</cp:revision>
  <cp:lastPrinted>2021-11-24T17:18:00Z</cp:lastPrinted>
  <dcterms:created xsi:type="dcterms:W3CDTF">2021-12-03T16:19:00Z</dcterms:created>
  <dcterms:modified xsi:type="dcterms:W3CDTF">2021-12-03T16:19:00Z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