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95A" w:rsidRDefault="00BE695A" w:rsidP="00BE695A">
      <w:pPr>
        <w:pStyle w:val="bpuBill"/>
      </w:pPr>
      <w:bookmarkStart w:id="0" w:name="bpuFrontPg"/>
      <w:bookmarkStart w:id="1" w:name="_GoBack"/>
      <w:bookmarkEnd w:id="0"/>
      <w:bookmarkEnd w:id="1"/>
      <w:r>
        <w:t>S</w:t>
      </w:r>
      <w:r w:rsidR="00A76BD1">
        <w:t>ENATE, No. 42</w:t>
      </w:r>
      <w:r>
        <w:t xml:space="preserve">53 </w:t>
      </w:r>
    </w:p>
    <w:p w:rsidR="00BE695A" w:rsidRPr="009D38FF" w:rsidRDefault="00BE695A" w:rsidP="00BE69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56276" r:id="rId8"/>
        </w:object>
      </w:r>
    </w:p>
    <w:p w:rsidR="00BE695A" w:rsidRDefault="00BE695A" w:rsidP="00BE695A">
      <w:pPr>
        <w:pStyle w:val="bpuState"/>
      </w:pPr>
      <w:r>
        <w:t>STATE OF NEW JERSEY</w:t>
      </w:r>
    </w:p>
    <w:p w:rsidR="00BE695A" w:rsidRDefault="00BE695A" w:rsidP="00BE695A">
      <w:pPr>
        <w:pStyle w:val="bpuLegislature"/>
      </w:pPr>
      <w:r>
        <w:t>219th LEGISLATURE</w:t>
      </w:r>
    </w:p>
    <w:p w:rsidR="00BE695A" w:rsidRDefault="00BE695A" w:rsidP="00BE695A">
      <w:pPr>
        <w:pStyle w:val="bpuWpGraphic"/>
      </w:pPr>
      <w:r>
        <w:object w:dxaOrig="8985" w:dyaOrig="255">
          <v:shape id="_x0000_i1026" type="#_x0000_t75" style="width:6in;height:11.9pt" o:ole="">
            <v:imagedata r:id="rId7" o:title=""/>
          </v:shape>
          <o:OLEObject Type="Embed" ProgID="WPWin6.1" ShapeID="_x0000_i1026" DrawAspect="Content" ObjectID="_1701256277" r:id="rId9"/>
        </w:object>
      </w:r>
      <w:r>
        <w:t xml:space="preserve">  </w:t>
      </w:r>
    </w:p>
    <w:p w:rsidR="00BE695A" w:rsidRDefault="00BE695A" w:rsidP="00BE695A">
      <w:pPr>
        <w:pStyle w:val="bpuIntro"/>
      </w:pPr>
      <w:r>
        <w:t>INTRODUCED DECEMBER 9, 2021</w:t>
      </w:r>
    </w:p>
    <w:p w:rsidR="00BE695A" w:rsidRDefault="00BE695A" w:rsidP="00BE695A">
      <w:pPr>
        <w:pStyle w:val="bpuIntro"/>
      </w:pPr>
    </w:p>
    <w:p w:rsidR="00BE695A" w:rsidRDefault="00BE695A" w:rsidP="00BE695A">
      <w:pPr>
        <w:pStyle w:val="bpuIntro"/>
        <w:sectPr w:rsidR="00BE695A" w:rsidSect="004458A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E695A" w:rsidRDefault="00BE695A" w:rsidP="00BE695A">
      <w:pPr>
        <w:pStyle w:val="bpuIntro"/>
      </w:pPr>
    </w:p>
    <w:p w:rsidR="00BE695A" w:rsidRDefault="00BE695A" w:rsidP="00BE695A">
      <w:pPr>
        <w:pStyle w:val="bpuSponsor"/>
      </w:pPr>
      <w:r>
        <w:t>Sponsored by:</w:t>
      </w:r>
    </w:p>
    <w:p w:rsidR="00BE695A" w:rsidRDefault="00BE695A" w:rsidP="00BE695A">
      <w:pPr>
        <w:pStyle w:val="bpuSponsor"/>
      </w:pPr>
      <w:r>
        <w:t>Senator  RICHARD J. CODEY</w:t>
      </w:r>
    </w:p>
    <w:p w:rsidR="00BE695A" w:rsidRDefault="00BE695A" w:rsidP="00BE695A">
      <w:pPr>
        <w:pStyle w:val="bpuSponsor"/>
      </w:pPr>
      <w:r>
        <w:t>District 27 (Essex and Morris)</w:t>
      </w:r>
    </w:p>
    <w:p w:rsidR="00BE695A" w:rsidRDefault="00BE695A" w:rsidP="00BE695A">
      <w:pPr>
        <w:pStyle w:val="bpuSponsor"/>
      </w:pPr>
      <w:r>
        <w:t>Senator  VIN GOPAL</w:t>
      </w:r>
    </w:p>
    <w:p w:rsidR="00BE695A" w:rsidRDefault="00BE695A" w:rsidP="00BE695A">
      <w:pPr>
        <w:pStyle w:val="bpuSponsor"/>
      </w:pPr>
      <w:r>
        <w:t>District 11 (Monmouth)</w:t>
      </w:r>
    </w:p>
    <w:p w:rsidR="00BE695A" w:rsidRDefault="00BE695A" w:rsidP="00BE695A">
      <w:pPr>
        <w:pStyle w:val="bpuSponsor"/>
      </w:pPr>
    </w:p>
    <w:p w:rsidR="00BE695A" w:rsidRDefault="004458A1" w:rsidP="004458A1">
      <w:pPr>
        <w:pStyle w:val="bpuSponsor"/>
      </w:pPr>
      <w:r>
        <w:t>Co-Sponsored by:</w:t>
      </w:r>
    </w:p>
    <w:p w:rsidR="004458A1" w:rsidRDefault="004458A1" w:rsidP="004458A1">
      <w:pPr>
        <w:pStyle w:val="bpuSponsor"/>
      </w:pPr>
      <w:r w:rsidRPr="004458A1">
        <w:t>Senator Thompson</w:t>
      </w:r>
    </w:p>
    <w:p w:rsidR="004458A1" w:rsidRDefault="004458A1" w:rsidP="004458A1"/>
    <w:p w:rsidR="004458A1" w:rsidRPr="004458A1" w:rsidRDefault="004458A1" w:rsidP="004458A1"/>
    <w:p w:rsidR="00BE695A" w:rsidRDefault="00BE695A" w:rsidP="00BE695A">
      <w:pPr>
        <w:pStyle w:val="bpuSponsor"/>
      </w:pPr>
    </w:p>
    <w:p w:rsidR="00BE695A" w:rsidRDefault="00BE695A" w:rsidP="00BE695A">
      <w:pPr>
        <w:pStyle w:val="bpuSponsor"/>
      </w:pPr>
    </w:p>
    <w:p w:rsidR="00BE695A" w:rsidRDefault="00BE695A" w:rsidP="00BE695A">
      <w:pPr>
        <w:pStyle w:val="bpuSponsor"/>
      </w:pPr>
      <w:r>
        <w:t>SYNOPSIS</w:t>
      </w:r>
    </w:p>
    <w:p w:rsidR="00BE695A" w:rsidRDefault="00BE695A" w:rsidP="00BE695A">
      <w:pPr>
        <w:pStyle w:val="bpuNormText"/>
      </w:pPr>
      <w:r>
        <w:tab/>
        <w:t xml:space="preserve">Provides $5 million in supplemental funding to New Jersey Horse Racing Commission for horse racing purse subsidies. </w:t>
      </w:r>
    </w:p>
    <w:p w:rsidR="00BE695A" w:rsidRDefault="00BE695A" w:rsidP="00BE695A">
      <w:pPr>
        <w:pStyle w:val="bpuNormText"/>
      </w:pPr>
    </w:p>
    <w:p w:rsidR="00BE695A" w:rsidRDefault="00BE695A" w:rsidP="00BE695A">
      <w:pPr>
        <w:pStyle w:val="bpuSponsor"/>
      </w:pPr>
      <w:r>
        <w:t xml:space="preserve">CURRENT VERSION OF TEXT </w:t>
      </w:r>
    </w:p>
    <w:p w:rsidR="00BE695A" w:rsidRDefault="00BE695A" w:rsidP="00BE695A">
      <w:pPr>
        <w:pStyle w:val="bpuNormText"/>
      </w:pPr>
      <w:r>
        <w:tab/>
        <w:t>As introduced.</w:t>
      </w:r>
    </w:p>
    <w:p w:rsidR="00BE695A" w:rsidRDefault="00BE695A" w:rsidP="00BE69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695A" w:rsidRDefault="00BE695A" w:rsidP="00122025">
      <w:pPr>
        <w:pStyle w:val="FronterPage"/>
        <w:tabs>
          <w:tab w:val="clear" w:pos="1440"/>
          <w:tab w:val="clear" w:pos="2160"/>
          <w:tab w:val="clear" w:pos="2880"/>
          <w:tab w:val="clear" w:pos="3600"/>
          <w:tab w:val="clear" w:pos="4320"/>
          <w:tab w:val="clear" w:pos="5040"/>
        </w:tabs>
        <w:sectPr w:rsidR="00BE695A" w:rsidSect="00BE695A">
          <w:type w:val="continuous"/>
          <w:pgSz w:w="12240" w:h="20160" w:code="5"/>
          <w:pgMar w:top="1440" w:right="2275" w:bottom="1440" w:left="2275" w:header="72" w:footer="720" w:gutter="0"/>
          <w:pgNumType w:start="1"/>
          <w:cols w:space="720"/>
          <w:docGrid w:linePitch="360"/>
        </w:sectPr>
      </w:pPr>
    </w:p>
    <w:p w:rsidR="005F3CCF" w:rsidRPr="00677316" w:rsidRDefault="005F3CCF" w:rsidP="005F3CCF">
      <w:pPr>
        <w:pStyle w:val="HangingAnAct"/>
        <w:rPr>
          <w:rStyle w:val="HangingAnActChar"/>
        </w:rPr>
      </w:pPr>
      <w:r w:rsidRPr="005F3CCF">
        <w:rPr>
          <w:rStyle w:val="BillHead"/>
        </w:rPr>
        <w:lastRenderedPageBreak/>
        <w:t>A Supplement</w:t>
      </w:r>
      <w:r w:rsidRPr="006B7FA7">
        <w:rPr>
          <w:rStyle w:val="HangingAnActChar"/>
        </w:rPr>
        <w:t xml:space="preserve"> </w:t>
      </w:r>
      <w:r w:rsidRPr="00212CF3">
        <w:rPr>
          <w:rStyle w:val="HangingAnActChar"/>
        </w:rPr>
        <w:t>to the annual appropriations act for the fiscal year ending June 30, 2022, P.L.2021, c.133.</w:t>
      </w:r>
    </w:p>
    <w:p w:rsidR="005F3CCF" w:rsidRPr="00D71D68" w:rsidRDefault="005F3CCF" w:rsidP="005F3CCF"/>
    <w:p w:rsidR="005F3CCF" w:rsidRPr="00AA7880" w:rsidRDefault="005F3CCF" w:rsidP="005F3CCF">
      <w:r>
        <w:tab/>
      </w:r>
      <w:r>
        <w:rPr>
          <w:rStyle w:val="BillHeading2"/>
        </w:rPr>
        <w:t xml:space="preserve">Be It Enacted </w:t>
      </w:r>
      <w:r>
        <w:rPr>
          <w:rStyle w:val="BillLanguage"/>
        </w:rPr>
        <w:t>by the Senate and the General Assembly of the State of New Jersey:</w:t>
      </w:r>
    </w:p>
    <w:p w:rsidR="005F3CCF" w:rsidRPr="00D71D68" w:rsidRDefault="005F3CCF" w:rsidP="005F3CCF"/>
    <w:p w:rsidR="005F3CCF" w:rsidRDefault="005F3CCF" w:rsidP="005F3CCF">
      <w:r>
        <w:tab/>
        <w:t>1.</w:t>
      </w:r>
      <w:r>
        <w:tab/>
        <w:t>In addition to the amounts appropriated under P.L.2021, c.133, the annual appropriations act for the fiscal year ending June 30, 2022, there is appropriated from the General Fund the following amount for the purpose specified:</w:t>
      </w:r>
    </w:p>
    <w:p w:rsidR="005F3CCF" w:rsidRDefault="005F3CCF" w:rsidP="005F3CCF"/>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5F3CCF" w:rsidTr="000870B8">
        <w:trPr>
          <w:trHeight w:val="900"/>
        </w:trPr>
        <w:tc>
          <w:tcPr>
            <w:tcW w:w="8625" w:type="dxa"/>
            <w:gridSpan w:val="5"/>
            <w:vAlign w:val="center"/>
          </w:tcPr>
          <w:p w:rsidR="005F3CCF" w:rsidRPr="0089297C" w:rsidRDefault="005F3CCF" w:rsidP="000870B8">
            <w:pPr>
              <w:ind w:left="187" w:hanging="187"/>
              <w:jc w:val="center"/>
              <w:rPr>
                <w:b/>
                <w:sz w:val="26"/>
                <w:szCs w:val="26"/>
              </w:rPr>
            </w:pPr>
            <w:r>
              <w:rPr>
                <w:b/>
                <w:sz w:val="26"/>
                <w:szCs w:val="26"/>
              </w:rPr>
              <w:t>66</w:t>
            </w:r>
            <w:r w:rsidRPr="0089297C">
              <w:rPr>
                <w:b/>
                <w:sz w:val="26"/>
                <w:szCs w:val="26"/>
              </w:rPr>
              <w:t xml:space="preserve"> </w:t>
            </w:r>
            <w:r>
              <w:rPr>
                <w:b/>
                <w:sz w:val="26"/>
                <w:szCs w:val="26"/>
              </w:rPr>
              <w:t>LAW AND PUBLIC SAFETY</w:t>
            </w:r>
          </w:p>
          <w:p w:rsidR="005F3CCF" w:rsidRPr="0089297C" w:rsidRDefault="005F3CCF" w:rsidP="000870B8">
            <w:pPr>
              <w:ind w:left="187" w:hanging="187"/>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5F3CCF" w:rsidRDefault="005F3CCF" w:rsidP="000870B8">
            <w:pPr>
              <w:ind w:left="187" w:hanging="187"/>
              <w:jc w:val="center"/>
              <w:rPr>
                <w:b/>
                <w:i/>
                <w:sz w:val="22"/>
                <w:szCs w:val="22"/>
              </w:rPr>
            </w:pPr>
            <w:r>
              <w:rPr>
                <w:b/>
                <w:i/>
                <w:sz w:val="22"/>
                <w:szCs w:val="22"/>
              </w:rPr>
              <w:t>1410</w:t>
            </w:r>
            <w:r w:rsidRPr="0089297C">
              <w:rPr>
                <w:b/>
                <w:i/>
                <w:sz w:val="22"/>
                <w:szCs w:val="22"/>
              </w:rPr>
              <w:t xml:space="preserve"> </w:t>
            </w:r>
            <w:r w:rsidRPr="000D2BFD">
              <w:rPr>
                <w:b/>
                <w:i/>
                <w:sz w:val="22"/>
                <w:szCs w:val="22"/>
              </w:rPr>
              <w:t>New Jersey Racing Commission</w:t>
            </w:r>
          </w:p>
          <w:p w:rsidR="005F3CCF" w:rsidRDefault="005F3CCF" w:rsidP="000870B8">
            <w:pPr>
              <w:ind w:left="187" w:hanging="187"/>
              <w:jc w:val="center"/>
              <w:rPr>
                <w:b/>
                <w:i/>
                <w:sz w:val="22"/>
                <w:szCs w:val="22"/>
              </w:rPr>
            </w:pPr>
            <w:r>
              <w:rPr>
                <w:b/>
                <w:i/>
                <w:sz w:val="22"/>
                <w:szCs w:val="22"/>
              </w:rPr>
              <w:t xml:space="preserve">22 Regulation of Racing Activities </w:t>
            </w:r>
          </w:p>
          <w:p w:rsidR="005F3CCF" w:rsidRPr="00647E32" w:rsidRDefault="005F3CCF" w:rsidP="000870B8">
            <w:pPr>
              <w:jc w:val="center"/>
              <w:rPr>
                <w:b/>
                <w:u w:val="single"/>
              </w:rPr>
            </w:pPr>
            <w:r>
              <w:rPr>
                <w:b/>
                <w:sz w:val="22"/>
                <w:szCs w:val="22"/>
                <w:u w:val="single"/>
              </w:rPr>
              <w:t>DIRECT STATE SERVICES</w:t>
            </w:r>
          </w:p>
        </w:tc>
      </w:tr>
      <w:tr w:rsidR="005F3CCF" w:rsidRPr="00CB15A4" w:rsidTr="000870B8">
        <w:trPr>
          <w:trHeight w:val="144"/>
        </w:trPr>
        <w:tc>
          <w:tcPr>
            <w:tcW w:w="956" w:type="dxa"/>
            <w:shd w:val="clear" w:color="auto" w:fill="auto"/>
            <w:tcMar>
              <w:left w:w="115" w:type="dxa"/>
            </w:tcMar>
          </w:tcPr>
          <w:p w:rsidR="005F3CCF" w:rsidRPr="00CB15A4" w:rsidRDefault="005F3CCF" w:rsidP="000870B8">
            <w:pPr>
              <w:rPr>
                <w:sz w:val="22"/>
                <w:szCs w:val="22"/>
              </w:rPr>
            </w:pPr>
            <w:r>
              <w:rPr>
                <w:sz w:val="22"/>
                <w:szCs w:val="22"/>
              </w:rPr>
              <w:t>22</w:t>
            </w:r>
            <w:r w:rsidRPr="00CB15A4">
              <w:rPr>
                <w:sz w:val="22"/>
                <w:szCs w:val="22"/>
              </w:rPr>
              <w:t>-</w:t>
            </w:r>
            <w:r>
              <w:rPr>
                <w:sz w:val="22"/>
                <w:szCs w:val="22"/>
              </w:rPr>
              <w:t>1410</w:t>
            </w:r>
          </w:p>
        </w:tc>
        <w:tc>
          <w:tcPr>
            <w:tcW w:w="6139" w:type="dxa"/>
            <w:gridSpan w:val="3"/>
            <w:shd w:val="clear" w:color="auto" w:fill="auto"/>
          </w:tcPr>
          <w:p w:rsidR="005F3CCF" w:rsidRPr="00CB15A4" w:rsidRDefault="005F3CCF" w:rsidP="000870B8">
            <w:pPr>
              <w:pStyle w:val="ApropTab"/>
            </w:pPr>
            <w:r>
              <w:t xml:space="preserve">New Jersey Racing Commission </w:t>
            </w:r>
            <w:r w:rsidRPr="00CB15A4">
              <w:t>......................................................</w:t>
            </w:r>
            <w:r>
              <w:t>..</w:t>
            </w:r>
          </w:p>
        </w:tc>
        <w:tc>
          <w:tcPr>
            <w:tcW w:w="1530" w:type="dxa"/>
            <w:shd w:val="clear" w:color="auto" w:fill="auto"/>
            <w:tcMar>
              <w:left w:w="0" w:type="dxa"/>
            </w:tcMar>
            <w:vAlign w:val="bottom"/>
          </w:tcPr>
          <w:p w:rsidR="005F3CCF" w:rsidRPr="00CB15A4" w:rsidRDefault="005F3CCF" w:rsidP="000870B8">
            <w:pPr>
              <w:jc w:val="right"/>
              <w:rPr>
                <w:sz w:val="22"/>
                <w:szCs w:val="22"/>
              </w:rPr>
            </w:pPr>
            <w:r w:rsidRPr="00CB15A4">
              <w:rPr>
                <w:sz w:val="22"/>
                <w:szCs w:val="22"/>
              </w:rPr>
              <w:t>$</w:t>
            </w:r>
            <w:r>
              <w:rPr>
                <w:sz w:val="22"/>
                <w:szCs w:val="22"/>
              </w:rPr>
              <w:t>5,000,000</w:t>
            </w:r>
          </w:p>
        </w:tc>
      </w:tr>
      <w:tr w:rsidR="005F3CCF" w:rsidRPr="00CB15A4" w:rsidTr="000870B8">
        <w:trPr>
          <w:trHeight w:val="635"/>
        </w:trPr>
        <w:tc>
          <w:tcPr>
            <w:tcW w:w="956" w:type="dxa"/>
            <w:shd w:val="clear" w:color="auto" w:fill="auto"/>
            <w:tcMar>
              <w:left w:w="576" w:type="dxa"/>
              <w:right w:w="216" w:type="dxa"/>
            </w:tcMar>
          </w:tcPr>
          <w:p w:rsidR="005F3CCF" w:rsidRPr="00CB15A4" w:rsidRDefault="005F3CCF" w:rsidP="000870B8">
            <w:pPr>
              <w:rPr>
                <w:sz w:val="22"/>
                <w:szCs w:val="22"/>
              </w:rPr>
            </w:pPr>
          </w:p>
        </w:tc>
        <w:tc>
          <w:tcPr>
            <w:tcW w:w="6139" w:type="dxa"/>
            <w:gridSpan w:val="3"/>
            <w:shd w:val="clear" w:color="auto" w:fill="auto"/>
          </w:tcPr>
          <w:p w:rsidR="005F3CCF" w:rsidRPr="00CB15A4" w:rsidRDefault="005F3CCF" w:rsidP="000870B8">
            <w:pPr>
              <w:pStyle w:val="ApropTab"/>
            </w:pPr>
            <w:r>
              <w:t>Total Direct State Services</w:t>
            </w:r>
            <w:r w:rsidRPr="00CB15A4">
              <w:t xml:space="preserve"> Appropriation,</w:t>
            </w:r>
            <w:r>
              <w:t xml:space="preserve">                             New Jersey Racing Commission</w:t>
            </w:r>
          </w:p>
        </w:tc>
        <w:tc>
          <w:tcPr>
            <w:tcW w:w="1530" w:type="dxa"/>
            <w:tcBorders>
              <w:top w:val="single" w:sz="4" w:space="0" w:color="auto"/>
              <w:bottom w:val="single" w:sz="4" w:space="0" w:color="auto"/>
            </w:tcBorders>
            <w:shd w:val="clear" w:color="auto" w:fill="auto"/>
            <w:tcMar>
              <w:left w:w="0" w:type="dxa"/>
            </w:tcMar>
            <w:vAlign w:val="bottom"/>
          </w:tcPr>
          <w:p w:rsidR="005F3CCF" w:rsidRPr="00CB15A4" w:rsidRDefault="005F3CCF" w:rsidP="000870B8">
            <w:pPr>
              <w:jc w:val="right"/>
              <w:rPr>
                <w:sz w:val="22"/>
                <w:szCs w:val="22"/>
              </w:rPr>
            </w:pPr>
            <w:r w:rsidRPr="00CB15A4">
              <w:rPr>
                <w:sz w:val="22"/>
                <w:szCs w:val="22"/>
              </w:rPr>
              <w:t>$</w:t>
            </w:r>
            <w:r>
              <w:rPr>
                <w:sz w:val="22"/>
                <w:szCs w:val="22"/>
              </w:rPr>
              <w:t>5,000,000</w:t>
            </w:r>
            <w:r w:rsidRPr="00CB15A4">
              <w:rPr>
                <w:sz w:val="22"/>
                <w:szCs w:val="22"/>
              </w:rPr>
              <w:t>0</w:t>
            </w:r>
          </w:p>
        </w:tc>
      </w:tr>
      <w:tr w:rsidR="005F3CCF" w:rsidRPr="00CB15A4" w:rsidTr="000870B8">
        <w:trPr>
          <w:trHeight w:val="183"/>
        </w:trPr>
        <w:tc>
          <w:tcPr>
            <w:tcW w:w="5475" w:type="dxa"/>
            <w:gridSpan w:val="3"/>
            <w:shd w:val="clear" w:color="auto" w:fill="auto"/>
            <w:tcMar>
              <w:left w:w="115" w:type="dxa"/>
            </w:tcMar>
          </w:tcPr>
          <w:p w:rsidR="005F3CCF" w:rsidRPr="00CB15A4" w:rsidRDefault="005F3CCF" w:rsidP="000870B8">
            <w:pPr>
              <w:rPr>
                <w:b/>
                <w:i/>
                <w:sz w:val="22"/>
                <w:szCs w:val="22"/>
              </w:rPr>
            </w:pPr>
            <w:r>
              <w:rPr>
                <w:b/>
                <w:i/>
                <w:sz w:val="22"/>
                <w:szCs w:val="22"/>
              </w:rPr>
              <w:t>Direct State Services</w:t>
            </w:r>
            <w:r w:rsidRPr="00CB15A4">
              <w:rPr>
                <w:b/>
                <w:i/>
                <w:sz w:val="22"/>
                <w:szCs w:val="22"/>
              </w:rPr>
              <w:t>:</w:t>
            </w:r>
          </w:p>
        </w:tc>
        <w:tc>
          <w:tcPr>
            <w:tcW w:w="1620" w:type="dxa"/>
            <w:shd w:val="clear" w:color="auto" w:fill="auto"/>
            <w:vAlign w:val="center"/>
          </w:tcPr>
          <w:p w:rsidR="005F3CCF" w:rsidRPr="00CB15A4" w:rsidRDefault="005F3CCF" w:rsidP="000870B8">
            <w:pPr>
              <w:rPr>
                <w:sz w:val="22"/>
                <w:szCs w:val="22"/>
              </w:rPr>
            </w:pPr>
          </w:p>
        </w:tc>
        <w:tc>
          <w:tcPr>
            <w:tcW w:w="1530" w:type="dxa"/>
            <w:tcBorders>
              <w:top w:val="single" w:sz="4" w:space="0" w:color="auto"/>
            </w:tcBorders>
            <w:shd w:val="clear" w:color="auto" w:fill="auto"/>
            <w:vAlign w:val="center"/>
          </w:tcPr>
          <w:p w:rsidR="005F3CCF" w:rsidRPr="00CB15A4" w:rsidRDefault="005F3CCF" w:rsidP="000870B8">
            <w:pPr>
              <w:rPr>
                <w:sz w:val="22"/>
                <w:szCs w:val="22"/>
              </w:rPr>
            </w:pPr>
          </w:p>
        </w:tc>
      </w:tr>
      <w:tr w:rsidR="005F3CCF" w:rsidRPr="00CB15A4" w:rsidTr="000870B8">
        <w:trPr>
          <w:trHeight w:val="144"/>
        </w:trPr>
        <w:tc>
          <w:tcPr>
            <w:tcW w:w="975" w:type="dxa"/>
            <w:gridSpan w:val="2"/>
            <w:shd w:val="clear" w:color="auto" w:fill="auto"/>
            <w:tcMar>
              <w:left w:w="115" w:type="dxa"/>
            </w:tcMar>
          </w:tcPr>
          <w:p w:rsidR="005F3CCF" w:rsidRPr="00CB15A4" w:rsidRDefault="005F3CCF" w:rsidP="000870B8">
            <w:pPr>
              <w:jc w:val="right"/>
              <w:rPr>
                <w:sz w:val="22"/>
                <w:szCs w:val="22"/>
              </w:rPr>
            </w:pPr>
            <w:r>
              <w:rPr>
                <w:sz w:val="22"/>
                <w:szCs w:val="22"/>
              </w:rPr>
              <w:t>22</w:t>
            </w:r>
            <w:r w:rsidRPr="00CB15A4">
              <w:rPr>
                <w:sz w:val="22"/>
                <w:szCs w:val="22"/>
              </w:rPr>
              <w:t xml:space="preserve"> </w:t>
            </w:r>
          </w:p>
        </w:tc>
        <w:tc>
          <w:tcPr>
            <w:tcW w:w="4500" w:type="dxa"/>
            <w:shd w:val="clear" w:color="auto" w:fill="auto"/>
          </w:tcPr>
          <w:p w:rsidR="005F3CCF" w:rsidRPr="00CB15A4" w:rsidRDefault="005F3CCF" w:rsidP="000870B8">
            <w:pPr>
              <w:pStyle w:val="ApropTab"/>
            </w:pPr>
            <w:r>
              <w:t>Horse Racing Purse Subsidies</w:t>
            </w:r>
            <w:r w:rsidRPr="00CB15A4">
              <w:t xml:space="preserve">  .................................</w:t>
            </w:r>
            <w:r>
              <w:t>.........</w:t>
            </w:r>
          </w:p>
        </w:tc>
        <w:tc>
          <w:tcPr>
            <w:tcW w:w="1620" w:type="dxa"/>
            <w:shd w:val="clear" w:color="auto" w:fill="auto"/>
            <w:vAlign w:val="bottom"/>
          </w:tcPr>
          <w:p w:rsidR="005F3CCF" w:rsidRPr="00CB15A4" w:rsidRDefault="005F3CCF" w:rsidP="000870B8">
            <w:pPr>
              <w:jc w:val="right"/>
              <w:rPr>
                <w:sz w:val="22"/>
                <w:szCs w:val="22"/>
              </w:rPr>
            </w:pPr>
            <w:r w:rsidRPr="00CB15A4">
              <w:rPr>
                <w:sz w:val="22"/>
                <w:szCs w:val="22"/>
              </w:rPr>
              <w:t>($</w:t>
            </w:r>
            <w:r>
              <w:rPr>
                <w:sz w:val="22"/>
                <w:szCs w:val="22"/>
              </w:rPr>
              <w:t>5,000,000</w:t>
            </w:r>
            <w:r w:rsidRPr="00CB15A4">
              <w:rPr>
                <w:sz w:val="22"/>
                <w:szCs w:val="22"/>
              </w:rPr>
              <w:t>)</w:t>
            </w:r>
          </w:p>
        </w:tc>
        <w:tc>
          <w:tcPr>
            <w:tcW w:w="1530" w:type="dxa"/>
            <w:shd w:val="clear" w:color="auto" w:fill="auto"/>
            <w:vAlign w:val="center"/>
          </w:tcPr>
          <w:p w:rsidR="005F3CCF" w:rsidRPr="00CB15A4" w:rsidRDefault="005F3CCF" w:rsidP="000870B8">
            <w:pPr>
              <w:rPr>
                <w:sz w:val="22"/>
                <w:szCs w:val="22"/>
              </w:rPr>
            </w:pPr>
          </w:p>
        </w:tc>
      </w:tr>
      <w:tr w:rsidR="005F3CCF" w:rsidRPr="00CB15A4" w:rsidTr="000870B8">
        <w:trPr>
          <w:trHeight w:val="144"/>
        </w:trPr>
        <w:tc>
          <w:tcPr>
            <w:tcW w:w="975" w:type="dxa"/>
            <w:gridSpan w:val="2"/>
            <w:shd w:val="clear" w:color="auto" w:fill="auto"/>
            <w:tcMar>
              <w:left w:w="115" w:type="dxa"/>
            </w:tcMar>
          </w:tcPr>
          <w:p w:rsidR="005F3CCF" w:rsidRPr="00CB15A4" w:rsidRDefault="005F3CCF" w:rsidP="000870B8">
            <w:pPr>
              <w:jc w:val="right"/>
              <w:rPr>
                <w:sz w:val="22"/>
                <w:szCs w:val="22"/>
              </w:rPr>
            </w:pPr>
          </w:p>
        </w:tc>
        <w:tc>
          <w:tcPr>
            <w:tcW w:w="4500" w:type="dxa"/>
            <w:shd w:val="clear" w:color="auto" w:fill="auto"/>
          </w:tcPr>
          <w:p w:rsidR="005F3CCF" w:rsidRPr="00CB15A4" w:rsidRDefault="005F3CCF" w:rsidP="000870B8">
            <w:pPr>
              <w:pStyle w:val="ApropTab"/>
            </w:pPr>
          </w:p>
        </w:tc>
        <w:tc>
          <w:tcPr>
            <w:tcW w:w="1620" w:type="dxa"/>
            <w:shd w:val="clear" w:color="auto" w:fill="auto"/>
            <w:vAlign w:val="bottom"/>
          </w:tcPr>
          <w:p w:rsidR="005F3CCF" w:rsidRPr="00CB15A4" w:rsidRDefault="005F3CCF" w:rsidP="000870B8">
            <w:pPr>
              <w:jc w:val="right"/>
              <w:rPr>
                <w:sz w:val="22"/>
                <w:szCs w:val="22"/>
              </w:rPr>
            </w:pPr>
          </w:p>
        </w:tc>
        <w:tc>
          <w:tcPr>
            <w:tcW w:w="1530" w:type="dxa"/>
            <w:shd w:val="clear" w:color="auto" w:fill="auto"/>
            <w:vAlign w:val="center"/>
          </w:tcPr>
          <w:p w:rsidR="005F3CCF" w:rsidRPr="00CB15A4" w:rsidRDefault="005F3CCF" w:rsidP="000870B8">
            <w:pPr>
              <w:rPr>
                <w:sz w:val="22"/>
                <w:szCs w:val="22"/>
              </w:rPr>
            </w:pPr>
          </w:p>
        </w:tc>
      </w:tr>
    </w:tbl>
    <w:p w:rsidR="00FA4D28" w:rsidRDefault="00FA4D28" w:rsidP="005F3CCF"/>
    <w:p w:rsidR="005F3CCF" w:rsidRDefault="005F3CCF" w:rsidP="005F3CCF">
      <w:r>
        <w:tab/>
        <w:t>2.</w:t>
      </w:r>
      <w:r>
        <w:tab/>
        <w:t>This act shall take effect immediately.</w:t>
      </w:r>
    </w:p>
    <w:p w:rsidR="005F3CCF" w:rsidRPr="00CE7BD8" w:rsidRDefault="005F3CCF" w:rsidP="005F3CCF"/>
    <w:p w:rsidR="005F3CCF" w:rsidRPr="00CE7BD8" w:rsidRDefault="005F3CCF" w:rsidP="005F3CCF"/>
    <w:p w:rsidR="005F3CCF" w:rsidRPr="00AA7880" w:rsidRDefault="005F3CCF" w:rsidP="005F3CCF">
      <w:pPr>
        <w:jc w:val="center"/>
      </w:pPr>
      <w:r w:rsidRPr="00D71D68">
        <w:t>STATEMENT</w:t>
      </w:r>
    </w:p>
    <w:p w:rsidR="005F3CCF" w:rsidRDefault="005F3CCF" w:rsidP="005F3CCF"/>
    <w:p w:rsidR="005F3CCF" w:rsidRPr="009B3184" w:rsidRDefault="005F3CCF" w:rsidP="005F3CCF">
      <w:r>
        <w:tab/>
      </w:r>
      <w:r w:rsidRPr="009B3184">
        <w:t xml:space="preserve">This bill will provide $5 million in supplemental funding to the New Jersey Racing Commission to increase horse racing purse subsidies in the current fiscal </w:t>
      </w:r>
      <w:r>
        <w:t xml:space="preserve">year </w:t>
      </w:r>
      <w:r w:rsidRPr="009B3184">
        <w:t>from $15 million to $20 million.</w:t>
      </w:r>
    </w:p>
    <w:sectPr w:rsidR="005F3CCF" w:rsidRPr="009B3184" w:rsidSect="00BE695A">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159" w:rsidRDefault="00C53159">
      <w:r>
        <w:separator/>
      </w:r>
    </w:p>
  </w:endnote>
  <w:endnote w:type="continuationSeparator" w:id="0">
    <w:p w:rsidR="00C53159" w:rsidRDefault="00C53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8A1" w:rsidRDefault="004458A1" w:rsidP="004458A1">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159" w:rsidRDefault="00C53159">
      <w:r>
        <w:separator/>
      </w:r>
    </w:p>
  </w:footnote>
  <w:footnote w:type="continuationSeparator" w:id="0">
    <w:p w:rsidR="00C53159" w:rsidRDefault="00C53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51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695A" w:rsidRDefault="00BE695A" w:rsidP="00BE695A">
    <w:pPr>
      <w:pStyle w:val="bpuHeadSpon"/>
    </w:pPr>
    <w:r w:rsidRPr="00BE695A">
      <w:rPr>
        <w:rStyle w:val="bpuHeadSponChar"/>
      </w:rPr>
      <w:t>S4153</w:t>
    </w:r>
    <w:r>
      <w:t xml:space="preserve"> CODEY, GOPAL</w:t>
    </w:r>
  </w:p>
  <w:p w:rsidR="00BE695A" w:rsidRDefault="00BE695A" w:rsidP="00BE695A">
    <w:pPr>
      <w:pStyle w:val="bpuHeadSpon"/>
    </w:pPr>
    <w:r>
      <w:fldChar w:fldCharType="begin"/>
    </w:r>
    <w:r>
      <w:instrText xml:space="preserve"> PAGE  \* MERGEFORMAT </w:instrText>
    </w:r>
    <w:r>
      <w:fldChar w:fldCharType="separate"/>
    </w:r>
    <w:r w:rsidR="009C1E1D">
      <w:rPr>
        <w:noProof/>
      </w:rPr>
      <w:t>3</w:t>
    </w:r>
    <w:r>
      <w:fldChar w:fldCharType="end"/>
    </w:r>
  </w:p>
  <w:p w:rsidR="00BE695A" w:rsidRDefault="00BE695A" w:rsidP="00BE69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695A" w:rsidRDefault="00A76BD1" w:rsidP="00BE695A">
    <w:pPr>
      <w:pStyle w:val="bpuHeadSpon"/>
    </w:pPr>
    <w:r>
      <w:rPr>
        <w:rStyle w:val="bpuHeadSponChar"/>
      </w:rPr>
      <w:t>S42</w:t>
    </w:r>
    <w:r w:rsidR="00BE695A" w:rsidRPr="00BE695A">
      <w:rPr>
        <w:rStyle w:val="bpuHeadSponChar"/>
      </w:rPr>
      <w:t>53</w:t>
    </w:r>
    <w:r w:rsidR="00BE695A">
      <w:t xml:space="preserve"> CODEY, GOPAL</w:t>
    </w:r>
  </w:p>
  <w:p w:rsidR="00BE695A" w:rsidRDefault="00BE695A" w:rsidP="00BE695A">
    <w:pPr>
      <w:pStyle w:val="bpuHeadSpon"/>
    </w:pPr>
    <w:r>
      <w:fldChar w:fldCharType="begin"/>
    </w:r>
    <w:r>
      <w:instrText xml:space="preserve"> PAGE  \* MERGEFORMAT </w:instrText>
    </w:r>
    <w:r>
      <w:fldChar w:fldCharType="separate"/>
    </w:r>
    <w:r w:rsidR="0015195A">
      <w:rPr>
        <w:noProof/>
      </w:rPr>
      <w:t>2</w:t>
    </w:r>
    <w:r>
      <w:fldChar w:fldCharType="end"/>
    </w:r>
  </w:p>
  <w:p w:rsidR="00BE695A" w:rsidRDefault="00BE695A" w:rsidP="00BE69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15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5195A"/>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E7FF4"/>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0216"/>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083E"/>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58A1"/>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E3F53"/>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3CCF"/>
    <w:rsid w:val="006019F8"/>
    <w:rsid w:val="00602754"/>
    <w:rsid w:val="0060372D"/>
    <w:rsid w:val="00605B20"/>
    <w:rsid w:val="0061156F"/>
    <w:rsid w:val="00613FF5"/>
    <w:rsid w:val="006155A8"/>
    <w:rsid w:val="00620C78"/>
    <w:rsid w:val="00621076"/>
    <w:rsid w:val="00621B94"/>
    <w:rsid w:val="00626239"/>
    <w:rsid w:val="00635316"/>
    <w:rsid w:val="00635449"/>
    <w:rsid w:val="006378C5"/>
    <w:rsid w:val="0064104E"/>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4721"/>
    <w:rsid w:val="007C0E14"/>
    <w:rsid w:val="007C7DE4"/>
    <w:rsid w:val="007D0CB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2AFF"/>
    <w:rsid w:val="008A31C5"/>
    <w:rsid w:val="008A4F9A"/>
    <w:rsid w:val="008B2850"/>
    <w:rsid w:val="008C79B3"/>
    <w:rsid w:val="008D77BD"/>
    <w:rsid w:val="008E454C"/>
    <w:rsid w:val="008F1E5A"/>
    <w:rsid w:val="008F203B"/>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E1D"/>
    <w:rsid w:val="009C2DD9"/>
    <w:rsid w:val="009C3E09"/>
    <w:rsid w:val="009C5630"/>
    <w:rsid w:val="009D0E5D"/>
    <w:rsid w:val="009D0F63"/>
    <w:rsid w:val="009D7934"/>
    <w:rsid w:val="009D7CCF"/>
    <w:rsid w:val="009E3164"/>
    <w:rsid w:val="009E5961"/>
    <w:rsid w:val="009E6A09"/>
    <w:rsid w:val="009F4FAC"/>
    <w:rsid w:val="00A017C0"/>
    <w:rsid w:val="00A10FD9"/>
    <w:rsid w:val="00A11228"/>
    <w:rsid w:val="00A222C2"/>
    <w:rsid w:val="00A25845"/>
    <w:rsid w:val="00A305D6"/>
    <w:rsid w:val="00A342C4"/>
    <w:rsid w:val="00A50F6B"/>
    <w:rsid w:val="00A52237"/>
    <w:rsid w:val="00A551D6"/>
    <w:rsid w:val="00A6251B"/>
    <w:rsid w:val="00A6754E"/>
    <w:rsid w:val="00A70F58"/>
    <w:rsid w:val="00A72987"/>
    <w:rsid w:val="00A7346B"/>
    <w:rsid w:val="00A76BD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695A"/>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3159"/>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108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4D28"/>
    <w:rsid w:val="00FA66C9"/>
    <w:rsid w:val="00FB168A"/>
    <w:rsid w:val="00FB4045"/>
    <w:rsid w:val="00FB4D8E"/>
    <w:rsid w:val="00FC0D0A"/>
    <w:rsid w:val="00FC1B0B"/>
    <w:rsid w:val="00FD2F97"/>
    <w:rsid w:val="00FD5EE0"/>
    <w:rsid w:val="00FF50C0"/>
    <w:rsid w:val="00FF7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837871"/>
  <w15:docId w15:val="{20C0E935-353C-401C-8C57-65019316E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E695A"/>
  </w:style>
  <w:style w:type="paragraph" w:styleId="BalloonText">
    <w:name w:val="Balloon Text"/>
    <w:basedOn w:val="Normal"/>
    <w:link w:val="BalloonTextChar"/>
    <w:semiHidden/>
    <w:unhideWhenUsed/>
    <w:rsid w:val="007B47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47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0598C-2396-4BDD-9E5F-93D92552F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218</Words>
  <Characters>1292</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S4253</vt:lpstr>
    </vt:vector>
  </TitlesOfParts>
  <Manager>R224</Manager>
  <Company>NJ Office of Legislative Services</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S4253</dc:title>
  <dc:subject/>
  <dc:creator>Senator  CODEY, Senator  GOPAL</dc:creator>
  <cp:keywords>S4253|2|SG |310|0|310|N|0|</cp:keywords>
  <dc:description>INTRODUCED DECEMBER 9, 2021</dc:description>
  <cp:lastModifiedBy>Todaro, Vivian</cp:lastModifiedBy>
  <cp:revision>2</cp:revision>
  <cp:lastPrinted>2021-12-17T19:24:00Z</cp:lastPrinted>
  <dcterms:created xsi:type="dcterms:W3CDTF">2021-12-17T19:24:00Z</dcterms:created>
  <dcterms:modified xsi:type="dcterms:W3CDTF">2021-12-17T19:24:00Z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