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3C8" w:rsidRDefault="003433C8" w:rsidP="003433C8">
      <w:pPr>
        <w:pStyle w:val="bpuReprint"/>
      </w:pPr>
      <w:bookmarkStart w:id="0" w:name="bpuFrontPg"/>
      <w:bookmarkStart w:id="1" w:name="_GoBack"/>
      <w:bookmarkEnd w:id="0"/>
      <w:bookmarkEnd w:id="1"/>
      <w:r>
        <w:t>[First Reprint]</w:t>
      </w:r>
    </w:p>
    <w:p w:rsidR="00166F75" w:rsidRDefault="00166F75" w:rsidP="00166F75">
      <w:pPr>
        <w:pStyle w:val="bpuBill"/>
      </w:pPr>
      <w:r>
        <w:t xml:space="preserve">SENATE CONCURRENT RESOLUTION No. 103 </w:t>
      </w:r>
    </w:p>
    <w:p w:rsidR="00166F75" w:rsidRPr="009D38FF" w:rsidRDefault="00166F75" w:rsidP="00166F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02705" r:id="rId7"/>
        </w:object>
      </w:r>
    </w:p>
    <w:p w:rsidR="00166F75" w:rsidRDefault="00166F75" w:rsidP="00166F75">
      <w:pPr>
        <w:pStyle w:val="bpuState"/>
      </w:pPr>
      <w:r>
        <w:t>STATE OF NEW JERSEY</w:t>
      </w:r>
    </w:p>
    <w:p w:rsidR="00166F75" w:rsidRDefault="00166F75" w:rsidP="00166F75">
      <w:pPr>
        <w:pStyle w:val="bpuLegislature"/>
      </w:pPr>
      <w:r>
        <w:t>219th LEGISLATURE</w:t>
      </w:r>
    </w:p>
    <w:p w:rsidR="00166F75" w:rsidRDefault="00166F75" w:rsidP="00166F75">
      <w:pPr>
        <w:pStyle w:val="bpuWpGraphic"/>
      </w:pPr>
      <w:r>
        <w:object w:dxaOrig="8985" w:dyaOrig="255">
          <v:shape id="_x0000_i1026" type="#_x0000_t75" style="width:6in;height:12pt" o:ole="">
            <v:imagedata r:id="rId6" o:title=""/>
          </v:shape>
          <o:OLEObject Type="Embed" ProgID="WPWin6.1" ShapeID="_x0000_i1026" DrawAspect="Content" ObjectID="_1676202706" r:id="rId8"/>
        </w:object>
      </w:r>
      <w:r>
        <w:t xml:space="preserve">  </w:t>
      </w:r>
    </w:p>
    <w:p w:rsidR="00166F75" w:rsidRDefault="00166F75" w:rsidP="00166F75">
      <w:pPr>
        <w:pStyle w:val="bpuIntro"/>
      </w:pPr>
      <w:r>
        <w:t>INTRODUCED MARCH 16, 2020</w:t>
      </w:r>
    </w:p>
    <w:p w:rsidR="00166F75" w:rsidRDefault="00166F75" w:rsidP="00166F75">
      <w:pPr>
        <w:pStyle w:val="bpuIntro"/>
      </w:pPr>
    </w:p>
    <w:p w:rsidR="00166F75" w:rsidRDefault="00166F75" w:rsidP="00166F75">
      <w:pPr>
        <w:pStyle w:val="bpuIntro"/>
        <w:sectPr w:rsidR="00166F75" w:rsidSect="00F459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6F75" w:rsidRDefault="00166F75" w:rsidP="00166F75">
      <w:pPr>
        <w:pStyle w:val="bpuIntro"/>
      </w:pPr>
    </w:p>
    <w:p w:rsidR="00166F75" w:rsidRDefault="00166F75" w:rsidP="00166F75">
      <w:pPr>
        <w:pStyle w:val="bpuSponsor"/>
      </w:pPr>
      <w:r>
        <w:t>Sponsored by:</w:t>
      </w:r>
    </w:p>
    <w:p w:rsidR="00166F75" w:rsidRDefault="00166F75" w:rsidP="00166F75">
      <w:pPr>
        <w:pStyle w:val="bpuSponsor"/>
      </w:pPr>
      <w:r>
        <w:t>Senator  RONALD L. RICE</w:t>
      </w:r>
    </w:p>
    <w:p w:rsidR="00166F75" w:rsidRDefault="00166F75" w:rsidP="00166F75">
      <w:pPr>
        <w:pStyle w:val="bpuSponsor"/>
      </w:pPr>
      <w:r>
        <w:t>District 28 (Essex)</w:t>
      </w:r>
    </w:p>
    <w:p w:rsidR="00166F75" w:rsidRDefault="00F45989" w:rsidP="00F45989">
      <w:pPr>
        <w:pStyle w:val="bpuSponsor"/>
      </w:pPr>
      <w:r>
        <w:t>Assemblywoman  VERLINA REYNOLDS-JACKSON</w:t>
      </w:r>
    </w:p>
    <w:p w:rsidR="00F45989" w:rsidRDefault="00F45989" w:rsidP="00F45989">
      <w:pPr>
        <w:pStyle w:val="bpuSponsor"/>
      </w:pPr>
      <w:r>
        <w:t>District 15 (Hunterdon and Mercer)</w:t>
      </w:r>
    </w:p>
    <w:p w:rsidR="00F45989" w:rsidRDefault="00F45989" w:rsidP="00F45989">
      <w:pPr>
        <w:pStyle w:val="bpuSponsor"/>
      </w:pPr>
      <w:r>
        <w:t>Assemblywoman  ANGELA V. MCKNIGHT</w:t>
      </w:r>
    </w:p>
    <w:p w:rsidR="00F45989" w:rsidRDefault="00F45989" w:rsidP="00F45989">
      <w:pPr>
        <w:pStyle w:val="bpuSponsor"/>
      </w:pPr>
      <w:r>
        <w:t>District 31 (Hudson)</w:t>
      </w:r>
    </w:p>
    <w:p w:rsidR="00F45989" w:rsidRDefault="00F45989" w:rsidP="00F45989">
      <w:pPr>
        <w:pStyle w:val="bpuSponsor"/>
      </w:pPr>
      <w:r>
        <w:t>Assemblywoman  VALERIE VAINIERI HUTTLE</w:t>
      </w:r>
    </w:p>
    <w:p w:rsidR="00F45989" w:rsidRDefault="00F45989" w:rsidP="00F45989">
      <w:pPr>
        <w:pStyle w:val="bpuSponsor"/>
      </w:pPr>
      <w:r>
        <w:t>District 37 (Bergen)</w:t>
      </w:r>
    </w:p>
    <w:p w:rsidR="00F45989" w:rsidRPr="00F45989" w:rsidRDefault="00F45989" w:rsidP="00F45989"/>
    <w:p w:rsidR="00166F75" w:rsidRDefault="001F11DC" w:rsidP="001F11DC">
      <w:pPr>
        <w:pStyle w:val="bpuSponsor"/>
      </w:pPr>
      <w:r>
        <w:t>Co-Sponsored by:</w:t>
      </w:r>
    </w:p>
    <w:p w:rsidR="001F11DC" w:rsidRDefault="001F11DC" w:rsidP="001F11DC">
      <w:pPr>
        <w:pStyle w:val="bpuSponsor"/>
      </w:pPr>
      <w:r w:rsidRPr="001F11DC">
        <w:t xml:space="preserve">Senators </w:t>
      </w:r>
      <w:proofErr w:type="spellStart"/>
      <w:r w:rsidRPr="001F11DC">
        <w:t>Addiego</w:t>
      </w:r>
      <w:proofErr w:type="spellEnd"/>
      <w:r w:rsidRPr="001F11DC">
        <w:t xml:space="preserve"> and Cruz-Perez</w:t>
      </w:r>
    </w:p>
    <w:p w:rsidR="001F11DC" w:rsidRDefault="001F11DC" w:rsidP="001F11DC"/>
    <w:p w:rsidR="001F11DC" w:rsidRPr="001F11DC" w:rsidRDefault="001F11DC" w:rsidP="001F11DC"/>
    <w:p w:rsidR="00166F75" w:rsidRDefault="00166F75" w:rsidP="00166F75">
      <w:pPr>
        <w:pStyle w:val="bpuSponsor"/>
      </w:pPr>
    </w:p>
    <w:p w:rsidR="00166F75" w:rsidRDefault="00166F75" w:rsidP="00166F75">
      <w:pPr>
        <w:pStyle w:val="bpuSponsor"/>
      </w:pPr>
    </w:p>
    <w:p w:rsidR="00166F75" w:rsidRDefault="00166F75" w:rsidP="00166F75">
      <w:pPr>
        <w:pStyle w:val="bpuSponsor"/>
      </w:pPr>
      <w:r>
        <w:t>SYNOPSIS</w:t>
      </w:r>
    </w:p>
    <w:p w:rsidR="009F0A3C" w:rsidRPr="00CC5525" w:rsidRDefault="009F0A3C" w:rsidP="009F0A3C">
      <w:r>
        <w:tab/>
        <w:t>Urges efforts at state and federal levels to protect minority communities through better regulation of debt settlement companies.</w:t>
      </w:r>
    </w:p>
    <w:p w:rsidR="00166F75" w:rsidRDefault="00166F75" w:rsidP="00166F75">
      <w:pPr>
        <w:pStyle w:val="bpuNormText"/>
      </w:pPr>
    </w:p>
    <w:p w:rsidR="00166F75" w:rsidRDefault="00166F75" w:rsidP="00166F75">
      <w:pPr>
        <w:pStyle w:val="bpuSponsor"/>
      </w:pPr>
      <w:r>
        <w:t xml:space="preserve">CURRENT VERSION OF TEXT </w:t>
      </w:r>
    </w:p>
    <w:p w:rsidR="00166F75" w:rsidRDefault="003433C8" w:rsidP="00166F75">
      <w:pPr>
        <w:pStyle w:val="bpuNormText"/>
      </w:pPr>
      <w:r>
        <w:tab/>
        <w:t>As reported by the Assembly Consumer Affairs Committee on January 13, 2021, with amendments.</w:t>
      </w:r>
    </w:p>
    <w:p w:rsidR="00166F75" w:rsidRDefault="00166F75" w:rsidP="00166F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6F75" w:rsidRDefault="00166F75" w:rsidP="008916EC">
      <w:pPr>
        <w:pStyle w:val="FronterPage"/>
        <w:tabs>
          <w:tab w:val="clear" w:pos="720"/>
          <w:tab w:val="clear" w:pos="1440"/>
          <w:tab w:val="clear" w:pos="2160"/>
          <w:tab w:val="clear" w:pos="2880"/>
          <w:tab w:val="clear" w:pos="3600"/>
          <w:tab w:val="clear" w:pos="4320"/>
          <w:tab w:val="clear" w:pos="5040"/>
        </w:tabs>
        <w:sectPr w:rsidR="00166F75" w:rsidSect="00166F75">
          <w:type w:val="continuous"/>
          <w:pgSz w:w="12240" w:h="20160" w:code="5"/>
          <w:pgMar w:top="1440" w:right="2275" w:bottom="1440" w:left="2275" w:header="72" w:footer="720" w:gutter="0"/>
          <w:pgNumType w:start="1"/>
          <w:cols w:space="720"/>
          <w:docGrid w:linePitch="360"/>
        </w:sectPr>
      </w:pPr>
    </w:p>
    <w:p w:rsidR="00021274" w:rsidRPr="00AA7880" w:rsidRDefault="00021274" w:rsidP="00021274">
      <w:pPr>
        <w:pStyle w:val="HangingAnAct"/>
      </w:pPr>
      <w:r>
        <w:rPr>
          <w:rStyle w:val="BillHead"/>
        </w:rPr>
        <w:lastRenderedPageBreak/>
        <w:t>A Concurrent Resolution</w:t>
      </w:r>
      <w:r w:rsidRPr="006B7FA7">
        <w:rPr>
          <w:rStyle w:val="HangingAnActChar"/>
        </w:rPr>
        <w:t xml:space="preserve"> </w:t>
      </w:r>
      <w:r>
        <w:t xml:space="preserve">urging efforts at the state and federal levels to protect minority communities </w:t>
      </w:r>
      <w:r>
        <w:rPr>
          <w:rFonts w:ascii="Albertus Extra Bold" w:hAnsi="Albertus Extra Bold"/>
          <w:b/>
          <w:vertAlign w:val="superscript"/>
        </w:rPr>
        <w:t>1</w:t>
      </w:r>
      <w:r w:rsidRPr="004B5B99">
        <w:rPr>
          <w:rFonts w:ascii="Albertus Extra Bold" w:hAnsi="Albertus Extra Bold"/>
          <w:b/>
        </w:rPr>
        <w:t>[</w:t>
      </w:r>
      <w:r>
        <w:t>from certain practices</w:t>
      </w:r>
      <w:r w:rsidRPr="004B5B99">
        <w:rPr>
          <w:rFonts w:ascii="Albertus Extra Bold" w:hAnsi="Albertus Extra Bold"/>
          <w:b/>
        </w:rPr>
        <w:t>]</w:t>
      </w:r>
      <w:r>
        <w:rPr>
          <w:spacing w:val="0"/>
        </w:rPr>
        <w:t xml:space="preserve"> </w:t>
      </w:r>
      <w:r>
        <w:rPr>
          <w:spacing w:val="0"/>
          <w:u w:val="single"/>
        </w:rPr>
        <w:t>through better regulation</w:t>
      </w:r>
      <w:r>
        <w:rPr>
          <w:rFonts w:ascii="Albertus Extra Bold" w:hAnsi="Albertus Extra Bold"/>
          <w:b/>
          <w:vertAlign w:val="superscript"/>
        </w:rPr>
        <w:t>1</w:t>
      </w:r>
      <w:r>
        <w:t xml:space="preserve"> of debt settlement companies.</w:t>
      </w:r>
    </w:p>
    <w:p w:rsidR="002D2571" w:rsidRDefault="002D2571" w:rsidP="002D2571"/>
    <w:p w:rsidR="008F02D3" w:rsidRDefault="008F02D3" w:rsidP="008F02D3">
      <w:pPr>
        <w:pStyle w:val="IndentHang"/>
      </w:pPr>
      <w:r w:rsidRPr="00391B81">
        <w:rPr>
          <w:b/>
          <w:bCs/>
          <w:smallCaps/>
        </w:rPr>
        <w:t>Whereas,</w:t>
      </w:r>
      <w:r>
        <w:t xml:space="preserve"> The General Assembly recognizes that debt settlement companies, which </w:t>
      </w:r>
      <w:r>
        <w:rPr>
          <w:rFonts w:ascii="Albertus Extra Bold" w:hAnsi="Albertus Extra Bold"/>
          <w:b/>
          <w:spacing w:val="4"/>
          <w:vertAlign w:val="superscript"/>
        </w:rPr>
        <w:t>1</w:t>
      </w:r>
      <w:r w:rsidRPr="004B5B99">
        <w:rPr>
          <w:rFonts w:ascii="Albertus Extra Bold" w:hAnsi="Albertus Extra Bold"/>
          <w:b/>
          <w:spacing w:val="4"/>
        </w:rPr>
        <w:t>[</w:t>
      </w:r>
      <w:r>
        <w:t>claim to</w:t>
      </w:r>
      <w:r w:rsidRPr="004B5B99">
        <w:rPr>
          <w:rFonts w:ascii="Albertus Extra Bold" w:hAnsi="Albertus Extra Bold"/>
          <w:b/>
          <w:spacing w:val="4"/>
        </w:rPr>
        <w:t>]</w:t>
      </w:r>
      <w:r>
        <w:rPr>
          <w:rFonts w:ascii="Albertus Extra Bold" w:hAnsi="Albertus Extra Bold"/>
          <w:b/>
          <w:spacing w:val="4"/>
          <w:vertAlign w:val="superscript"/>
        </w:rPr>
        <w:t>1</w:t>
      </w:r>
      <w:r>
        <w:t xml:space="preserve"> settle, renegotiate, or in some way change the terms of a person’s debt to a creditor, </w:t>
      </w:r>
      <w:r>
        <w:rPr>
          <w:rFonts w:ascii="Albertus Extra Bold" w:hAnsi="Albertus Extra Bold"/>
          <w:b/>
          <w:spacing w:val="4"/>
          <w:vertAlign w:val="superscript"/>
        </w:rPr>
        <w:t>1</w:t>
      </w:r>
      <w:r w:rsidRPr="004B5B99">
        <w:rPr>
          <w:rFonts w:ascii="Albertus Extra Bold" w:hAnsi="Albertus Extra Bold"/>
          <w:b/>
          <w:spacing w:val="4"/>
        </w:rPr>
        <w:t>[</w:t>
      </w:r>
      <w:r>
        <w:t>cause</w:t>
      </w:r>
      <w:r w:rsidRPr="004B5B99">
        <w:rPr>
          <w:rFonts w:ascii="Albertus Extra Bold" w:hAnsi="Albertus Extra Bold"/>
          <w:b/>
          <w:spacing w:val="4"/>
        </w:rPr>
        <w:t>]</w:t>
      </w:r>
      <w:r>
        <w:t xml:space="preserve"> </w:t>
      </w:r>
      <w:r>
        <w:rPr>
          <w:u w:val="single"/>
        </w:rPr>
        <w:t>can offer</w:t>
      </w:r>
      <w:r>
        <w:rPr>
          <w:rFonts w:ascii="Albertus Extra Bold" w:hAnsi="Albertus Extra Bold"/>
          <w:b/>
          <w:spacing w:val="4"/>
          <w:vertAlign w:val="superscript"/>
        </w:rPr>
        <w:t>1</w:t>
      </w:r>
      <w:r>
        <w:t xml:space="preserve"> significant </w:t>
      </w:r>
      <w:r>
        <w:rPr>
          <w:rFonts w:ascii="Albertus Extra Bold" w:hAnsi="Albertus Extra Bold"/>
          <w:b/>
          <w:spacing w:val="4"/>
          <w:vertAlign w:val="superscript"/>
        </w:rPr>
        <w:t>1</w:t>
      </w:r>
      <w:r w:rsidRPr="004B5B99">
        <w:rPr>
          <w:rFonts w:ascii="Albertus Extra Bold" w:hAnsi="Albertus Extra Bold"/>
          <w:b/>
          <w:spacing w:val="4"/>
        </w:rPr>
        <w:t>[</w:t>
      </w:r>
      <w:r>
        <w:t>problems for borrowers, often increasing debt while complicating the process of becoming</w:t>
      </w:r>
      <w:r w:rsidRPr="004B5B99">
        <w:rPr>
          <w:rFonts w:ascii="Albertus Extra Bold" w:hAnsi="Albertus Extra Bold"/>
          <w:b/>
          <w:spacing w:val="4"/>
        </w:rPr>
        <w:t>]</w:t>
      </w:r>
      <w:r>
        <w:t xml:space="preserve"> </w:t>
      </w:r>
      <w:r>
        <w:rPr>
          <w:u w:val="single"/>
        </w:rPr>
        <w:t>benefits to consumers wishing to become</w:t>
      </w:r>
      <w:r>
        <w:rPr>
          <w:rFonts w:ascii="Albertus Extra Bold" w:hAnsi="Albertus Extra Bold"/>
          <w:b/>
          <w:spacing w:val="4"/>
          <w:vertAlign w:val="superscript"/>
        </w:rPr>
        <w:t>1</w:t>
      </w:r>
      <w:r>
        <w:t xml:space="preserve"> debt free; and</w:t>
      </w:r>
    </w:p>
    <w:p w:rsidR="008F02D3" w:rsidRDefault="008F02D3" w:rsidP="008F02D3">
      <w:pPr>
        <w:pStyle w:val="IndentHang"/>
      </w:pPr>
      <w:r w:rsidRPr="00391B81">
        <w:rPr>
          <w:b/>
          <w:bCs/>
          <w:smallCaps/>
        </w:rPr>
        <w:t>Whereas,</w:t>
      </w:r>
      <w:r>
        <w:t xml:space="preserve"> Debt settlement companies </w:t>
      </w:r>
      <w:r>
        <w:rPr>
          <w:rFonts w:ascii="Albertus Extra Bold" w:hAnsi="Albertus Extra Bold"/>
          <w:b/>
          <w:spacing w:val="4"/>
          <w:vertAlign w:val="superscript"/>
        </w:rPr>
        <w:t>1</w:t>
      </w:r>
      <w:r w:rsidRPr="00D4335D">
        <w:rPr>
          <w:rFonts w:ascii="Albertus Extra Bold" w:hAnsi="Albertus Extra Bold"/>
          <w:b/>
          <w:spacing w:val="4"/>
        </w:rPr>
        <w:t>[</w:t>
      </w:r>
      <w:r>
        <w:t>suggest that they are “negotiating</w:t>
      </w:r>
      <w:r w:rsidRPr="00D4335D">
        <w:rPr>
          <w:rFonts w:ascii="Albertus Extra Bold" w:hAnsi="Albertus Extra Bold"/>
          <w:b/>
          <w:spacing w:val="4"/>
        </w:rPr>
        <w:t>]</w:t>
      </w:r>
      <w:r>
        <w:t xml:space="preserve"> </w:t>
      </w:r>
      <w:r>
        <w:rPr>
          <w:u w:val="single"/>
        </w:rPr>
        <w:t>negotiate</w:t>
      </w:r>
      <w:r>
        <w:rPr>
          <w:rFonts w:ascii="Albertus Extra Bold" w:hAnsi="Albertus Extra Bold"/>
          <w:b/>
          <w:spacing w:val="4"/>
          <w:vertAlign w:val="superscript"/>
        </w:rPr>
        <w:t>1</w:t>
      </w:r>
      <w:r>
        <w:t xml:space="preserve"> with creditors to settle </w:t>
      </w:r>
      <w:r>
        <w:rPr>
          <w:rFonts w:ascii="Albertus Extra Bold" w:hAnsi="Albertus Extra Bold"/>
          <w:b/>
          <w:spacing w:val="4"/>
          <w:vertAlign w:val="superscript"/>
        </w:rPr>
        <w:t>1</w:t>
      </w:r>
      <w:r>
        <w:rPr>
          <w:u w:val="single"/>
        </w:rPr>
        <w:t>delinquent</w:t>
      </w:r>
      <w:r>
        <w:rPr>
          <w:rFonts w:ascii="Albertus Extra Bold" w:hAnsi="Albertus Extra Bold"/>
          <w:b/>
          <w:spacing w:val="4"/>
          <w:vertAlign w:val="superscript"/>
        </w:rPr>
        <w:t>1</w:t>
      </w:r>
      <w:r>
        <w:t xml:space="preserve"> debt for less than what is </w:t>
      </w:r>
      <w:r>
        <w:rPr>
          <w:rFonts w:ascii="Albertus Extra Bold" w:hAnsi="Albertus Extra Bold"/>
          <w:b/>
          <w:spacing w:val="4"/>
          <w:vertAlign w:val="superscript"/>
        </w:rPr>
        <w:t>1</w:t>
      </w:r>
      <w:r w:rsidRPr="00D4335D">
        <w:rPr>
          <w:rFonts w:ascii="Albertus Extra Bold" w:hAnsi="Albertus Extra Bold"/>
          <w:b/>
          <w:spacing w:val="4"/>
        </w:rPr>
        <w:t>[</w:t>
      </w:r>
      <w:r>
        <w:t xml:space="preserve">owed” and can require that consumers stop making payment, </w:t>
      </w:r>
      <w:r w:rsidRPr="00D4335D">
        <w:rPr>
          <w:rFonts w:ascii="Albertus Extra Bold" w:hAnsi="Albertus Extra Bold"/>
          <w:b/>
          <w:spacing w:val="4"/>
        </w:rPr>
        <w:t>]</w:t>
      </w:r>
      <w:r>
        <w:t xml:space="preserve"> </w:t>
      </w:r>
      <w:r>
        <w:rPr>
          <w:u w:val="single"/>
        </w:rPr>
        <w:t>owed, a process that</w:t>
      </w:r>
      <w:r>
        <w:rPr>
          <w:rFonts w:ascii="Albertus Extra Bold" w:hAnsi="Albertus Extra Bold"/>
          <w:b/>
          <w:spacing w:val="4"/>
          <w:vertAlign w:val="superscript"/>
        </w:rPr>
        <w:t>1</w:t>
      </w:r>
      <w:r>
        <w:t xml:space="preserve"> usually </w:t>
      </w:r>
      <w:r>
        <w:rPr>
          <w:rFonts w:ascii="Albertus Extra Bold" w:hAnsi="Albertus Extra Bold"/>
          <w:b/>
          <w:spacing w:val="4"/>
          <w:vertAlign w:val="superscript"/>
        </w:rPr>
        <w:t>1</w:t>
      </w:r>
      <w:r w:rsidRPr="007A0987">
        <w:rPr>
          <w:rFonts w:ascii="Albertus Extra Bold" w:hAnsi="Albertus Extra Bold"/>
          <w:b/>
          <w:spacing w:val="4"/>
        </w:rPr>
        <w:t>[</w:t>
      </w:r>
      <w:r>
        <w:t>for</w:t>
      </w:r>
      <w:r w:rsidRPr="007A0987">
        <w:rPr>
          <w:rFonts w:ascii="Albertus Extra Bold" w:hAnsi="Albertus Extra Bold"/>
          <w:b/>
          <w:spacing w:val="4"/>
        </w:rPr>
        <w:t>]</w:t>
      </w:r>
      <w:r>
        <w:t xml:space="preserve"> </w:t>
      </w:r>
      <w:r w:rsidRPr="007A0987">
        <w:rPr>
          <w:u w:val="single"/>
        </w:rPr>
        <w:t>takes</w:t>
      </w:r>
      <w:r>
        <w:rPr>
          <w:rFonts w:ascii="Albertus Extra Bold" w:hAnsi="Albertus Extra Bold"/>
          <w:b/>
          <w:spacing w:val="4"/>
          <w:vertAlign w:val="superscript"/>
        </w:rPr>
        <w:t>1</w:t>
      </w:r>
      <w:r>
        <w:t xml:space="preserve"> two to three years </w:t>
      </w:r>
      <w:r>
        <w:rPr>
          <w:rFonts w:ascii="Albertus Extra Bold" w:hAnsi="Albertus Extra Bold"/>
          <w:b/>
          <w:spacing w:val="4"/>
          <w:vertAlign w:val="superscript"/>
        </w:rPr>
        <w:t>1</w:t>
      </w:r>
      <w:r w:rsidRPr="00AF288A">
        <w:rPr>
          <w:rFonts w:ascii="Albertus Extra Bold" w:hAnsi="Albertus Extra Bold"/>
          <w:b/>
          <w:spacing w:val="4"/>
        </w:rPr>
        <w:t>[</w:t>
      </w:r>
      <w:r>
        <w:t>, while they negotiate a settlement</w:t>
      </w:r>
      <w:r w:rsidRPr="00AF288A">
        <w:rPr>
          <w:rFonts w:ascii="Albertus Extra Bold" w:hAnsi="Albertus Extra Bold"/>
          <w:b/>
          <w:spacing w:val="4"/>
        </w:rPr>
        <w:t>]</w:t>
      </w:r>
      <w:r>
        <w:rPr>
          <w:rFonts w:ascii="Albertus Extra Bold" w:hAnsi="Albertus Extra Bold"/>
          <w:b/>
          <w:spacing w:val="4"/>
          <w:vertAlign w:val="superscript"/>
        </w:rPr>
        <w:t>1</w:t>
      </w:r>
      <w:r>
        <w:t>; and</w:t>
      </w:r>
    </w:p>
    <w:p w:rsidR="008F02D3" w:rsidRDefault="008F02D3" w:rsidP="008F02D3">
      <w:pPr>
        <w:pStyle w:val="IndentHang"/>
      </w:pPr>
      <w:r w:rsidRPr="00391B81">
        <w:rPr>
          <w:b/>
          <w:bCs/>
          <w:smallCaps/>
        </w:rPr>
        <w:t>Whereas,</w:t>
      </w:r>
      <w:r w:rsidRPr="001C43C8">
        <w:t xml:space="preserve"> </w:t>
      </w:r>
      <w:r>
        <w:t>Stopping payments causes accounts to default, resulting in additional late payments, late fees, and other penalties that will be added to the amount already owed; and</w:t>
      </w:r>
    </w:p>
    <w:p w:rsidR="008F02D3" w:rsidRDefault="008F02D3" w:rsidP="008F02D3">
      <w:pPr>
        <w:pStyle w:val="IndentHang"/>
      </w:pPr>
      <w:r w:rsidRPr="00391B81">
        <w:rPr>
          <w:b/>
          <w:bCs/>
          <w:smallCaps/>
        </w:rPr>
        <w:t>Whereas,</w:t>
      </w:r>
      <w:r w:rsidRPr="001C43C8">
        <w:t xml:space="preserve"> </w:t>
      </w:r>
      <w:r>
        <w:rPr>
          <w:rFonts w:ascii="Albertus Extra Bold" w:hAnsi="Albertus Extra Bold"/>
          <w:b/>
          <w:spacing w:val="4"/>
          <w:vertAlign w:val="superscript"/>
        </w:rPr>
        <w:t>1</w:t>
      </w:r>
      <w:r w:rsidRPr="00D4335D">
        <w:rPr>
          <w:rFonts w:ascii="Albertus Extra Bold" w:hAnsi="Albertus Extra Bold"/>
          <w:b/>
          <w:spacing w:val="4"/>
        </w:rPr>
        <w:t>[</w:t>
      </w:r>
      <w:r>
        <w:t>Debt settlement</w:t>
      </w:r>
      <w:r w:rsidRPr="00D4335D">
        <w:rPr>
          <w:rFonts w:ascii="Albertus Extra Bold" w:hAnsi="Albertus Extra Bold"/>
          <w:b/>
          <w:spacing w:val="4"/>
        </w:rPr>
        <w:t>]</w:t>
      </w:r>
      <w:r>
        <w:t xml:space="preserve"> </w:t>
      </w:r>
      <w:r>
        <w:rPr>
          <w:u w:val="single"/>
        </w:rPr>
        <w:t>Stopping payments</w:t>
      </w:r>
      <w:r w:rsidRPr="00D4335D">
        <w:rPr>
          <w:rFonts w:ascii="Albertus Extra Bold" w:hAnsi="Albertus Extra Bold"/>
          <w:b/>
          <w:spacing w:val="4"/>
          <w:vertAlign w:val="superscript"/>
        </w:rPr>
        <w:t>1</w:t>
      </w:r>
      <w:r>
        <w:t xml:space="preserve"> will have a negative impact on consumers’ credit scores and make it more difficult to access affordable credit, since </w:t>
      </w:r>
      <w:r>
        <w:rPr>
          <w:rFonts w:ascii="Albertus Extra Bold" w:hAnsi="Albertus Extra Bold"/>
          <w:b/>
          <w:spacing w:val="4"/>
          <w:vertAlign w:val="superscript"/>
        </w:rPr>
        <w:t>1</w:t>
      </w:r>
      <w:r w:rsidRPr="00D4335D">
        <w:rPr>
          <w:rFonts w:ascii="Albertus Extra Bold" w:hAnsi="Albertus Extra Bold"/>
          <w:b/>
          <w:spacing w:val="4"/>
        </w:rPr>
        <w:t>[</w:t>
      </w:r>
      <w:r>
        <w:t>debt settlement remains</w:t>
      </w:r>
      <w:r w:rsidRPr="00D4335D">
        <w:rPr>
          <w:rFonts w:ascii="Albertus Extra Bold" w:hAnsi="Albertus Extra Bold"/>
          <w:b/>
          <w:spacing w:val="4"/>
        </w:rPr>
        <w:t>]</w:t>
      </w:r>
      <w:r>
        <w:t xml:space="preserve"> </w:t>
      </w:r>
      <w:r>
        <w:rPr>
          <w:u w:val="single"/>
        </w:rPr>
        <w:t>delinquencies remain</w:t>
      </w:r>
      <w:r>
        <w:rPr>
          <w:rFonts w:ascii="Albertus Extra Bold" w:hAnsi="Albertus Extra Bold"/>
          <w:b/>
          <w:spacing w:val="4"/>
          <w:vertAlign w:val="superscript"/>
        </w:rPr>
        <w:t>1</w:t>
      </w:r>
      <w:r>
        <w:t xml:space="preserve"> on a credit report for </w:t>
      </w:r>
      <w:r>
        <w:rPr>
          <w:rFonts w:ascii="Albertus Extra Bold" w:hAnsi="Albertus Extra Bold"/>
          <w:b/>
          <w:spacing w:val="4"/>
          <w:vertAlign w:val="superscript"/>
        </w:rPr>
        <w:t>1</w:t>
      </w:r>
      <w:r w:rsidRPr="00D4335D">
        <w:rPr>
          <w:rFonts w:ascii="Albertus Extra Bold" w:hAnsi="Albertus Extra Bold"/>
          <w:b/>
          <w:spacing w:val="4"/>
        </w:rPr>
        <w:t>[</w:t>
      </w:r>
      <w:r>
        <w:t>seven</w:t>
      </w:r>
      <w:r w:rsidRPr="00D4335D">
        <w:rPr>
          <w:rFonts w:ascii="Albertus Extra Bold" w:hAnsi="Albertus Extra Bold"/>
          <w:b/>
          <w:spacing w:val="4"/>
        </w:rPr>
        <w:t>]</w:t>
      </w:r>
      <w:r>
        <w:t xml:space="preserve"> </w:t>
      </w:r>
      <w:r>
        <w:rPr>
          <w:u w:val="single"/>
        </w:rPr>
        <w:t>several</w:t>
      </w:r>
      <w:r>
        <w:rPr>
          <w:rFonts w:ascii="Albertus Extra Bold" w:hAnsi="Albertus Extra Bold"/>
          <w:b/>
          <w:spacing w:val="4"/>
          <w:vertAlign w:val="superscript"/>
        </w:rPr>
        <w:t>1</w:t>
      </w:r>
      <w:r>
        <w:t xml:space="preserve"> years and not paying the full amount owed or missing payments </w:t>
      </w:r>
      <w:r>
        <w:rPr>
          <w:rFonts w:ascii="Albertus Extra Bold" w:hAnsi="Albertus Extra Bold"/>
          <w:b/>
          <w:spacing w:val="4"/>
          <w:vertAlign w:val="superscript"/>
        </w:rPr>
        <w:t>1</w:t>
      </w:r>
      <w:r w:rsidRPr="00D4335D">
        <w:rPr>
          <w:rFonts w:ascii="Albertus Extra Bold" w:hAnsi="Albertus Extra Bold"/>
          <w:b/>
          <w:spacing w:val="4"/>
        </w:rPr>
        <w:t>[</w:t>
      </w:r>
      <w:r>
        <w:t>while negotiating a settlement lowers</w:t>
      </w:r>
      <w:r w:rsidRPr="00D4335D">
        <w:rPr>
          <w:rFonts w:ascii="Albertus Extra Bold" w:hAnsi="Albertus Extra Bold"/>
          <w:b/>
          <w:spacing w:val="4"/>
        </w:rPr>
        <w:t>]</w:t>
      </w:r>
      <w:r>
        <w:t xml:space="preserve"> </w:t>
      </w:r>
      <w:r>
        <w:rPr>
          <w:u w:val="single"/>
        </w:rPr>
        <w:t>can result in lower</w:t>
      </w:r>
      <w:r>
        <w:rPr>
          <w:rFonts w:ascii="Albertus Extra Bold" w:hAnsi="Albertus Extra Bold"/>
          <w:b/>
          <w:spacing w:val="4"/>
          <w:vertAlign w:val="superscript"/>
        </w:rPr>
        <w:t>1</w:t>
      </w:r>
      <w:r>
        <w:t xml:space="preserve"> credit scores; and</w:t>
      </w:r>
    </w:p>
    <w:p w:rsidR="008F02D3" w:rsidRDefault="008F02D3" w:rsidP="008F02D3">
      <w:pPr>
        <w:pStyle w:val="IndentHang"/>
      </w:pPr>
      <w:r w:rsidRPr="00391B81">
        <w:rPr>
          <w:b/>
          <w:bCs/>
          <w:smallCaps/>
        </w:rPr>
        <w:t>Whereas,</w:t>
      </w:r>
      <w:r w:rsidRPr="001C43C8">
        <w:t xml:space="preserve"> </w:t>
      </w:r>
      <w:r>
        <w:t xml:space="preserve">A fee is normally charged by debt settlement companies to negotiate on a consumer’s behalf and can be as much as </w:t>
      </w:r>
      <w:r>
        <w:rPr>
          <w:rFonts w:ascii="Albertus Extra Bold" w:hAnsi="Albertus Extra Bold"/>
          <w:b/>
          <w:spacing w:val="4"/>
          <w:vertAlign w:val="superscript"/>
        </w:rPr>
        <w:t>1</w:t>
      </w:r>
      <w:r w:rsidRPr="00FF3A77">
        <w:rPr>
          <w:rFonts w:ascii="Albertus Extra Bold" w:hAnsi="Albertus Extra Bold"/>
          <w:b/>
          <w:spacing w:val="4"/>
        </w:rPr>
        <w:t>[</w:t>
      </w:r>
      <w:r>
        <w:t>20</w:t>
      </w:r>
      <w:r w:rsidRPr="00FF3A77">
        <w:rPr>
          <w:rFonts w:ascii="Albertus Extra Bold" w:hAnsi="Albertus Extra Bold"/>
          <w:b/>
          <w:spacing w:val="4"/>
        </w:rPr>
        <w:t>]</w:t>
      </w:r>
      <w:r>
        <w:t xml:space="preserve"> 18</w:t>
      </w:r>
      <w:r w:rsidRPr="00FF3A77">
        <w:rPr>
          <w:rFonts w:ascii="Albertus Extra Bold" w:hAnsi="Albertus Extra Bold"/>
          <w:b/>
          <w:spacing w:val="4"/>
          <w:vertAlign w:val="superscript"/>
        </w:rPr>
        <w:t>1</w:t>
      </w:r>
      <w:r>
        <w:t xml:space="preserve"> to 25 percent of the </w:t>
      </w:r>
      <w:r>
        <w:rPr>
          <w:rFonts w:ascii="Albertus Extra Bold" w:hAnsi="Albertus Extra Bold"/>
          <w:b/>
          <w:spacing w:val="4"/>
          <w:vertAlign w:val="superscript"/>
        </w:rPr>
        <w:t>1</w:t>
      </w:r>
      <w:r w:rsidRPr="00FF3A77">
        <w:rPr>
          <w:rFonts w:ascii="Albertus Extra Bold" w:hAnsi="Albertus Extra Bold"/>
          <w:b/>
          <w:spacing w:val="4"/>
        </w:rPr>
        <w:t>[</w:t>
      </w:r>
      <w:r>
        <w:t>final settlement</w:t>
      </w:r>
      <w:r w:rsidRPr="00FF3A77">
        <w:rPr>
          <w:rFonts w:ascii="Albertus Extra Bold" w:hAnsi="Albertus Extra Bold"/>
          <w:b/>
          <w:spacing w:val="4"/>
        </w:rPr>
        <w:t>]</w:t>
      </w:r>
      <w:r>
        <w:t xml:space="preserve"> </w:t>
      </w:r>
      <w:r>
        <w:rPr>
          <w:u w:val="single"/>
        </w:rPr>
        <w:t>original amount</w:t>
      </w:r>
      <w:r>
        <w:rPr>
          <w:rFonts w:ascii="Albertus Extra Bold" w:hAnsi="Albertus Extra Bold"/>
          <w:b/>
          <w:spacing w:val="4"/>
          <w:vertAlign w:val="superscript"/>
        </w:rPr>
        <w:t>1</w:t>
      </w:r>
      <w:r>
        <w:t xml:space="preserve"> owed, which means a consumer with a $5,000 settlement </w:t>
      </w:r>
      <w:r>
        <w:rPr>
          <w:rFonts w:ascii="Albertus Extra Bold" w:hAnsi="Albertus Extra Bold"/>
          <w:b/>
          <w:spacing w:val="4"/>
          <w:vertAlign w:val="superscript"/>
        </w:rPr>
        <w:t>1</w:t>
      </w:r>
      <w:r>
        <w:rPr>
          <w:u w:val="single"/>
        </w:rPr>
        <w:t>of a $10,000 debt</w:t>
      </w:r>
      <w:r>
        <w:rPr>
          <w:rFonts w:ascii="Albertus Extra Bold" w:hAnsi="Albertus Extra Bold"/>
          <w:b/>
          <w:spacing w:val="4"/>
          <w:vertAlign w:val="superscript"/>
        </w:rPr>
        <w:t>1</w:t>
      </w:r>
      <w:r>
        <w:t xml:space="preserve"> may have an additional </w:t>
      </w:r>
      <w:r>
        <w:rPr>
          <w:rFonts w:ascii="Albertus Extra Bold" w:hAnsi="Albertus Extra Bold"/>
          <w:b/>
          <w:spacing w:val="4"/>
          <w:vertAlign w:val="superscript"/>
        </w:rPr>
        <w:t>1</w:t>
      </w:r>
      <w:r w:rsidRPr="00FF3A77">
        <w:rPr>
          <w:rFonts w:ascii="Albertus Extra Bold" w:hAnsi="Albertus Extra Bold"/>
          <w:b/>
          <w:spacing w:val="4"/>
        </w:rPr>
        <w:t>[</w:t>
      </w:r>
      <w:r>
        <w:t>$1,000 to $1,250</w:t>
      </w:r>
      <w:r w:rsidRPr="00FF3A77">
        <w:rPr>
          <w:rFonts w:ascii="Albertus Extra Bold" w:hAnsi="Albertus Extra Bold"/>
          <w:b/>
          <w:spacing w:val="4"/>
        </w:rPr>
        <w:t>]</w:t>
      </w:r>
      <w:r>
        <w:t xml:space="preserve"> </w:t>
      </w:r>
      <w:r>
        <w:rPr>
          <w:u w:val="single"/>
        </w:rPr>
        <w:t>$1,800 to $2,500</w:t>
      </w:r>
      <w:r>
        <w:rPr>
          <w:rFonts w:ascii="Albertus Extra Bold" w:hAnsi="Albertus Extra Bold"/>
          <w:b/>
          <w:spacing w:val="4"/>
          <w:vertAlign w:val="superscript"/>
        </w:rPr>
        <w:t>1</w:t>
      </w:r>
      <w:r>
        <w:t xml:space="preserve"> in fees to pay; and</w:t>
      </w:r>
    </w:p>
    <w:p w:rsidR="008F02D3" w:rsidRDefault="008F02D3" w:rsidP="008F02D3">
      <w:pPr>
        <w:pStyle w:val="IndentHang"/>
      </w:pPr>
      <w:r w:rsidRPr="00391B81">
        <w:rPr>
          <w:b/>
          <w:bCs/>
          <w:smallCaps/>
        </w:rPr>
        <w:t>Whereas,</w:t>
      </w:r>
      <w:r w:rsidRPr="001C43C8">
        <w:t xml:space="preserve"> </w:t>
      </w:r>
      <w:r>
        <w:t>Lenders are under no obligation to accept settlement offers and in fact, some lenders refuse to work with debt settlement companies; and</w:t>
      </w:r>
    </w:p>
    <w:p w:rsidR="008F02D3" w:rsidRDefault="008F02D3" w:rsidP="008F02D3">
      <w:pPr>
        <w:pStyle w:val="IndentHang"/>
      </w:pPr>
      <w:r w:rsidRPr="00391B81">
        <w:rPr>
          <w:b/>
          <w:bCs/>
          <w:smallCaps/>
        </w:rPr>
        <w:t>Whereas,</w:t>
      </w:r>
      <w:r w:rsidRPr="001C43C8">
        <w:t xml:space="preserve"> </w:t>
      </w:r>
      <w:r>
        <w:t>There can be negative tax consequences from using a debt settlement company, as whatever amount of debt is forgiven may be considered as income and require that the consumer list this amount as income on their tax returns; and</w:t>
      </w:r>
    </w:p>
    <w:p w:rsidR="008F02D3" w:rsidRDefault="008F02D3" w:rsidP="008F02D3">
      <w:pPr>
        <w:pStyle w:val="IndentHang"/>
      </w:pPr>
      <w:r w:rsidRPr="00391B81">
        <w:rPr>
          <w:b/>
          <w:bCs/>
          <w:smallCaps/>
        </w:rPr>
        <w:t>Whereas,</w:t>
      </w:r>
      <w:r w:rsidRPr="001C43C8">
        <w:t xml:space="preserve"> </w:t>
      </w:r>
      <w:r>
        <w:rPr>
          <w:rFonts w:ascii="Albertus Extra Bold" w:hAnsi="Albertus Extra Bold"/>
          <w:b/>
          <w:spacing w:val="4"/>
          <w:vertAlign w:val="superscript"/>
        </w:rPr>
        <w:t>1</w:t>
      </w:r>
      <w:r w:rsidRPr="00FF3A77">
        <w:rPr>
          <w:rFonts w:ascii="Albertus Extra Bold" w:hAnsi="Albertus Extra Bold"/>
          <w:b/>
          <w:spacing w:val="4"/>
        </w:rPr>
        <w:t>[</w:t>
      </w:r>
      <w:r>
        <w:t>These companies often disproportionately operate in</w:t>
      </w:r>
      <w:r w:rsidRPr="00FF3A77">
        <w:rPr>
          <w:rFonts w:ascii="Albertus Extra Bold" w:hAnsi="Albertus Extra Bold"/>
          <w:b/>
          <w:spacing w:val="4"/>
        </w:rPr>
        <w:t>]</w:t>
      </w:r>
      <w:r>
        <w:t xml:space="preserve"> </w:t>
      </w:r>
      <w:r>
        <w:rPr>
          <w:u w:val="single"/>
        </w:rPr>
        <w:t>It is important to protect</w:t>
      </w:r>
      <w:r>
        <w:rPr>
          <w:rFonts w:ascii="Albertus Extra Bold" w:hAnsi="Albertus Extra Bold"/>
          <w:b/>
          <w:spacing w:val="4"/>
          <w:vertAlign w:val="superscript"/>
        </w:rPr>
        <w:t>1</w:t>
      </w:r>
      <w:r>
        <w:t xml:space="preserve"> minority communities, where individuals and families often have fewer resources to draw on when they come under financial pressure; now, therefore,</w:t>
      </w:r>
    </w:p>
    <w:p w:rsidR="002D2571" w:rsidRDefault="002D2571" w:rsidP="002D2571"/>
    <w:p w:rsidR="00BA4CC2" w:rsidRDefault="002D2571" w:rsidP="00BA4CC2">
      <w:pPr>
        <w:rPr>
          <w:rStyle w:val="BillLanguage"/>
        </w:rPr>
      </w:pPr>
      <w:r>
        <w:tab/>
      </w:r>
      <w:r>
        <w:rPr>
          <w:rStyle w:val="BillHeading2"/>
        </w:rPr>
        <w:t xml:space="preserve">Be It Resolved </w:t>
      </w:r>
      <w:r>
        <w:rPr>
          <w:rStyle w:val="BillLanguage"/>
        </w:rPr>
        <w:t xml:space="preserve">by the </w:t>
      </w:r>
      <w:proofErr w:type="spellStart"/>
      <w:r w:rsidR="00406767">
        <w:rPr>
          <w:rStyle w:val="BillLanguage"/>
        </w:rPr>
        <w:t>Sente</w:t>
      </w:r>
      <w:proofErr w:type="spellEnd"/>
      <w:r>
        <w:rPr>
          <w:rStyle w:val="BillLanguage"/>
        </w:rPr>
        <w:t xml:space="preserve"> of the State of New Jersey (the </w:t>
      </w:r>
      <w:r w:rsidR="00406767">
        <w:rPr>
          <w:rStyle w:val="BillLanguage"/>
        </w:rPr>
        <w:t>General Assembly</w:t>
      </w:r>
      <w:r>
        <w:rPr>
          <w:rStyle w:val="BillLanguage"/>
        </w:rPr>
        <w:t xml:space="preserve"> concurring):</w:t>
      </w:r>
      <w:r w:rsidR="00BA4CC2">
        <w:rPr>
          <w:rStyle w:val="BillLanguage"/>
        </w:rPr>
        <w:br w:type="page"/>
      </w:r>
    </w:p>
    <w:p w:rsidR="002D2571" w:rsidRDefault="002D2571" w:rsidP="002D2571">
      <w:r>
        <w:tab/>
        <w:t>1.</w:t>
      </w:r>
      <w:r>
        <w:tab/>
        <w:t>The Legislature supports efforts at the state and federal levels that ensure debt settlement companies are subject to basic consumer protections, including licensing, regular examination, and prominent mandatory disclosure.</w:t>
      </w:r>
    </w:p>
    <w:p w:rsidR="002D2571" w:rsidRDefault="002D2571" w:rsidP="002D2571"/>
    <w:p w:rsidR="002D2571" w:rsidRDefault="002D2571" w:rsidP="002D2571">
      <w:r>
        <w:tab/>
        <w:t>2.</w:t>
      </w:r>
      <w:r>
        <w:tab/>
        <w:t>The Legislature recognizes that these services do not release a consumer from existing debt, and that ceasing to make payments without the consent of the creditor may damage the consumer’s credit score and may subject the borrower to collections activities, additional fees, and interest.</w:t>
      </w:r>
    </w:p>
    <w:p w:rsidR="002D2571" w:rsidRDefault="002D2571" w:rsidP="002D2571"/>
    <w:p w:rsidR="00876E32" w:rsidRDefault="00876E32" w:rsidP="00876E32">
      <w:r>
        <w:tab/>
        <w:t>3.</w:t>
      </w:r>
      <w:r>
        <w:tab/>
        <w:t xml:space="preserve">The Legislature urges states, including New Jersey, to consider legislation restricting </w:t>
      </w:r>
      <w:r>
        <w:rPr>
          <w:rFonts w:ascii="Albertus Extra Bold" w:hAnsi="Albertus Extra Bold"/>
          <w:b/>
          <w:vertAlign w:val="superscript"/>
        </w:rPr>
        <w:t>1</w:t>
      </w:r>
      <w:r w:rsidRPr="00FF3A77">
        <w:rPr>
          <w:rFonts w:ascii="Albertus Extra Bold" w:hAnsi="Albertus Extra Bold"/>
          <w:b/>
        </w:rPr>
        <w:t>[</w:t>
      </w:r>
      <w:r>
        <w:t>debt settlement companies’</w:t>
      </w:r>
      <w:r w:rsidRPr="00FF3A77">
        <w:rPr>
          <w:rFonts w:ascii="Albertus Extra Bold" w:hAnsi="Albertus Extra Bold"/>
          <w:b/>
        </w:rPr>
        <w:t>]</w:t>
      </w:r>
      <w:r>
        <w:t xml:space="preserve"> </w:t>
      </w:r>
      <w:r>
        <w:rPr>
          <w:u w:val="single"/>
        </w:rPr>
        <w:t>the making of</w:t>
      </w:r>
      <w:r>
        <w:rPr>
          <w:rFonts w:ascii="Albertus Extra Bold" w:hAnsi="Albertus Extra Bold"/>
          <w:b/>
          <w:vertAlign w:val="superscript"/>
        </w:rPr>
        <w:t>1</w:t>
      </w:r>
      <w:r>
        <w:t xml:space="preserve"> unsafe or unsustainable loans directly or indirectly to consumers.</w:t>
      </w:r>
    </w:p>
    <w:p w:rsidR="002D2571" w:rsidRDefault="002D2571" w:rsidP="002D2571"/>
    <w:p w:rsidR="0043173F" w:rsidRDefault="0043173F" w:rsidP="0043173F">
      <w:r>
        <w:tab/>
        <w:t>4.</w:t>
      </w:r>
      <w:r>
        <w:tab/>
        <w:t xml:space="preserve">The Legislature encourages the federal government to conduct a comprehensive review of its oversight of debt </w:t>
      </w:r>
      <w:r>
        <w:rPr>
          <w:rFonts w:ascii="Albertus Extra Bold" w:hAnsi="Albertus Extra Bold"/>
          <w:b/>
          <w:vertAlign w:val="superscript"/>
        </w:rPr>
        <w:t>1</w:t>
      </w:r>
      <w:r w:rsidRPr="00CC5525">
        <w:rPr>
          <w:rFonts w:ascii="Albertus Extra Bold" w:hAnsi="Albertus Extra Bold"/>
          <w:b/>
        </w:rPr>
        <w:t>[</w:t>
      </w:r>
      <w:r>
        <w:t>servicing</w:t>
      </w:r>
      <w:r w:rsidRPr="00CC5525">
        <w:rPr>
          <w:rFonts w:ascii="Albertus Extra Bold" w:hAnsi="Albertus Extra Bold"/>
          <w:b/>
        </w:rPr>
        <w:t>]</w:t>
      </w:r>
      <w:r>
        <w:t xml:space="preserve"> </w:t>
      </w:r>
      <w:r>
        <w:rPr>
          <w:u w:val="single"/>
        </w:rPr>
        <w:t>settlement</w:t>
      </w:r>
      <w:r>
        <w:rPr>
          <w:rFonts w:ascii="Albertus Extra Bold" w:hAnsi="Albertus Extra Bold"/>
          <w:b/>
          <w:vertAlign w:val="superscript"/>
        </w:rPr>
        <w:t>1</w:t>
      </w:r>
      <w:r>
        <w:t xml:space="preserve"> companies, to include a review of federal bankruptcy rules; how debt settlement companies act as credit counseling services; the status of these companies as money servicing businesses; and a review of the enforcement of current laws and regulations by the Consumer Financial Protection Bureau and Federal Trade Commission.</w:t>
      </w:r>
    </w:p>
    <w:p w:rsidR="002D2571" w:rsidRDefault="002D2571" w:rsidP="002D2571"/>
    <w:p w:rsidR="002D2571" w:rsidRPr="000C25D4" w:rsidRDefault="002D2571" w:rsidP="002D2571">
      <w:r>
        <w:tab/>
        <w:t>5.</w:t>
      </w:r>
      <w:r>
        <w:tab/>
        <w:t>Copies of this resolution, as filed with the Secretary of State, shall be transmitted by the Clerk of the General Assembly or the Secretary of the Senate to the President of the United States, the Vice President of the United States, members of the United States House of Representatives and United States Senate, the United States Secretary of the Treasury, and to other federal and State government officials as appropriate.</w:t>
      </w:r>
    </w:p>
    <w:sectPr w:rsidR="002D2571" w:rsidRPr="000C25D4" w:rsidSect="00BA4CC2">
      <w:headerReference w:type="default" r:id="rId13"/>
      <w:footerReference w:type="default" r:id="rId14"/>
      <w:headerReference w:type="first" r:id="rId15"/>
      <w:footerReference w:type="first" r:id="rId16"/>
      <w:pgSz w:w="12240" w:h="20160" w:code="5"/>
      <w:pgMar w:top="1440" w:right="2520" w:bottom="1872" w:left="2880" w:header="1181" w:footer="4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2CB" w:rsidRDefault="002A72CB">
      <w:r>
        <w:separator/>
      </w:r>
    </w:p>
  </w:endnote>
  <w:endnote w:type="continuationSeparator" w:id="0">
    <w:p w:rsidR="002A72CB" w:rsidRDefault="002A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1DC" w:rsidRDefault="00F45989" w:rsidP="00F45989">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3C8" w:rsidRPr="00921C91" w:rsidRDefault="003433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33C8" w:rsidRPr="00921C91" w:rsidRDefault="003433C8">
    <w:pPr>
      <w:pStyle w:val="Footer"/>
      <w:rPr>
        <w:szCs w:val="18"/>
      </w:rPr>
    </w:pPr>
  </w:p>
  <w:p w:rsidR="003433C8" w:rsidRPr="00921C91" w:rsidRDefault="003433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433C8" w:rsidRDefault="003433C8" w:rsidP="00686AEB">
    <w:pPr>
      <w:pStyle w:val="Footer"/>
    </w:pPr>
    <w:r>
      <w:tab/>
      <w:t>Matter enclosed in superscript numerals has been adopted as follows:</w:t>
    </w:r>
  </w:p>
  <w:p w:rsidR="003433C8" w:rsidRDefault="003433C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January 13, 2021.</w:t>
    </w:r>
  </w:p>
  <w:p w:rsidR="003433C8" w:rsidRPr="003433C8" w:rsidRDefault="003433C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2CB" w:rsidRDefault="002A72CB">
      <w:r>
        <w:separator/>
      </w:r>
    </w:p>
  </w:footnote>
  <w:footnote w:type="continuationSeparator" w:id="0">
    <w:p w:rsidR="002A72CB" w:rsidRDefault="002A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3B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6F75" w:rsidRDefault="00166F75" w:rsidP="00166F75">
    <w:pPr>
      <w:pStyle w:val="bpuHeadSpon"/>
    </w:pPr>
    <w:r w:rsidRPr="00166F75">
      <w:rPr>
        <w:rStyle w:val="bpuHeadSponChar"/>
      </w:rPr>
      <w:t>SCR103</w:t>
    </w:r>
    <w:r>
      <w:t xml:space="preserve"> RICE</w:t>
    </w:r>
  </w:p>
  <w:p w:rsidR="00166F75" w:rsidRDefault="00166F75" w:rsidP="00166F75">
    <w:pPr>
      <w:pStyle w:val="bpuHeadSpon"/>
    </w:pPr>
    <w:r>
      <w:fldChar w:fldCharType="begin"/>
    </w:r>
    <w:r>
      <w:instrText xml:space="preserve"> PAGE  \* MERGEFORMAT </w:instrText>
    </w:r>
    <w:r>
      <w:fldChar w:fldCharType="separate"/>
    </w:r>
    <w:r w:rsidR="00FF2305">
      <w:rPr>
        <w:noProof/>
      </w:rPr>
      <w:t>3</w:t>
    </w:r>
    <w:r>
      <w:fldChar w:fldCharType="end"/>
    </w:r>
  </w:p>
  <w:p w:rsidR="00166F75" w:rsidRDefault="00166F75" w:rsidP="00166F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6F75" w:rsidRDefault="00166F75" w:rsidP="00166F75">
    <w:pPr>
      <w:pStyle w:val="bpuHeadSpon"/>
    </w:pPr>
    <w:r w:rsidRPr="00166F75">
      <w:rPr>
        <w:rStyle w:val="bpuHeadSponChar"/>
      </w:rPr>
      <w:t>SCR103</w:t>
    </w:r>
    <w:r>
      <w:t xml:space="preserve"> RICE</w:t>
    </w:r>
  </w:p>
  <w:p w:rsidR="00166F75" w:rsidRDefault="00166F75" w:rsidP="00166F75">
    <w:pPr>
      <w:pStyle w:val="bpuHeadSpon"/>
    </w:pPr>
    <w:r>
      <w:fldChar w:fldCharType="begin"/>
    </w:r>
    <w:r>
      <w:instrText xml:space="preserve"> PAGE  \* MERGEFORMAT </w:instrText>
    </w:r>
    <w:r>
      <w:fldChar w:fldCharType="separate"/>
    </w:r>
    <w:r w:rsidR="00FF2305">
      <w:rPr>
        <w:noProof/>
      </w:rPr>
      <w:t>2</w:t>
    </w:r>
    <w:r>
      <w:fldChar w:fldCharType="end"/>
    </w:r>
  </w:p>
  <w:p w:rsidR="00166F75" w:rsidRDefault="00166F75" w:rsidP="00166F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2CB"/>
    <w:rsid w:val="000051BD"/>
    <w:rsid w:val="000136EA"/>
    <w:rsid w:val="000160A5"/>
    <w:rsid w:val="0002127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6AD"/>
    <w:rsid w:val="000F3DA2"/>
    <w:rsid w:val="000F5FDE"/>
    <w:rsid w:val="000F7466"/>
    <w:rsid w:val="0013000E"/>
    <w:rsid w:val="00133F81"/>
    <w:rsid w:val="00135943"/>
    <w:rsid w:val="001645FB"/>
    <w:rsid w:val="00166F7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1DC"/>
    <w:rsid w:val="001F14C7"/>
    <w:rsid w:val="001F7405"/>
    <w:rsid w:val="00205533"/>
    <w:rsid w:val="00212B8D"/>
    <w:rsid w:val="00220633"/>
    <w:rsid w:val="00222983"/>
    <w:rsid w:val="002370D0"/>
    <w:rsid w:val="00255958"/>
    <w:rsid w:val="00257FA2"/>
    <w:rsid w:val="002611F6"/>
    <w:rsid w:val="0026574A"/>
    <w:rsid w:val="002660BB"/>
    <w:rsid w:val="002720E8"/>
    <w:rsid w:val="00275293"/>
    <w:rsid w:val="002776B0"/>
    <w:rsid w:val="00286C7E"/>
    <w:rsid w:val="002A1029"/>
    <w:rsid w:val="002A3A1A"/>
    <w:rsid w:val="002A4692"/>
    <w:rsid w:val="002A51BA"/>
    <w:rsid w:val="002A72CB"/>
    <w:rsid w:val="002B1A47"/>
    <w:rsid w:val="002B2E26"/>
    <w:rsid w:val="002B3FE6"/>
    <w:rsid w:val="002C2D81"/>
    <w:rsid w:val="002C461E"/>
    <w:rsid w:val="002C6CEC"/>
    <w:rsid w:val="002D2571"/>
    <w:rsid w:val="002E09CE"/>
    <w:rsid w:val="002E69D1"/>
    <w:rsid w:val="002F3BA6"/>
    <w:rsid w:val="00310510"/>
    <w:rsid w:val="00315320"/>
    <w:rsid w:val="00325776"/>
    <w:rsid w:val="00325E27"/>
    <w:rsid w:val="00330395"/>
    <w:rsid w:val="00333704"/>
    <w:rsid w:val="00336624"/>
    <w:rsid w:val="0034025F"/>
    <w:rsid w:val="00340458"/>
    <w:rsid w:val="0034200F"/>
    <w:rsid w:val="003433C8"/>
    <w:rsid w:val="003446A0"/>
    <w:rsid w:val="0034481B"/>
    <w:rsid w:val="00350130"/>
    <w:rsid w:val="00354334"/>
    <w:rsid w:val="0036180C"/>
    <w:rsid w:val="00363CF5"/>
    <w:rsid w:val="00364344"/>
    <w:rsid w:val="003702CA"/>
    <w:rsid w:val="00370617"/>
    <w:rsid w:val="00382F1F"/>
    <w:rsid w:val="00391DA4"/>
    <w:rsid w:val="00396993"/>
    <w:rsid w:val="003A3C64"/>
    <w:rsid w:val="003A3F83"/>
    <w:rsid w:val="003C43EF"/>
    <w:rsid w:val="003C5A6B"/>
    <w:rsid w:val="003C7FB2"/>
    <w:rsid w:val="003D24DE"/>
    <w:rsid w:val="003E26D4"/>
    <w:rsid w:val="003E47BA"/>
    <w:rsid w:val="003F3B37"/>
    <w:rsid w:val="0040195A"/>
    <w:rsid w:val="00402DC0"/>
    <w:rsid w:val="00406767"/>
    <w:rsid w:val="00416C4B"/>
    <w:rsid w:val="0041751E"/>
    <w:rsid w:val="004211E5"/>
    <w:rsid w:val="00422091"/>
    <w:rsid w:val="0043173F"/>
    <w:rsid w:val="0043386C"/>
    <w:rsid w:val="00436F2D"/>
    <w:rsid w:val="00436F5D"/>
    <w:rsid w:val="00441B42"/>
    <w:rsid w:val="0044530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FD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E32"/>
    <w:rsid w:val="00884D51"/>
    <w:rsid w:val="008916EC"/>
    <w:rsid w:val="00891E4F"/>
    <w:rsid w:val="008A31C5"/>
    <w:rsid w:val="008A4F9A"/>
    <w:rsid w:val="008B2850"/>
    <w:rsid w:val="008C79B3"/>
    <w:rsid w:val="008D77BD"/>
    <w:rsid w:val="008E454C"/>
    <w:rsid w:val="008F02D3"/>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149"/>
    <w:rsid w:val="009F0A3C"/>
    <w:rsid w:val="009F1FD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CC2"/>
    <w:rsid w:val="00BB1190"/>
    <w:rsid w:val="00BB31D0"/>
    <w:rsid w:val="00BB3A11"/>
    <w:rsid w:val="00BB4DDB"/>
    <w:rsid w:val="00BB5D79"/>
    <w:rsid w:val="00BB5F02"/>
    <w:rsid w:val="00BC6D8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989"/>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30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C67D80-356C-408C-BD1C-C3EBA36E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D25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66F75"/>
  </w:style>
  <w:style w:type="paragraph" w:styleId="BalloonText">
    <w:name w:val="Balloon Text"/>
    <w:basedOn w:val="Normal"/>
    <w:link w:val="BalloonTextChar"/>
    <w:semiHidden/>
    <w:unhideWhenUsed/>
    <w:rsid w:val="00824F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4F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717</Words>
  <Characters>4057</Characters>
  <Application>Microsoft Office Word</Application>
  <DocSecurity>0</DocSecurity>
  <Lines>113</Lines>
  <Paragraphs>35</Paragraphs>
  <ScaleCrop>false</ScaleCrop>
  <HeadingPairs>
    <vt:vector size="2" baseType="variant">
      <vt:variant>
        <vt:lpstr>Title</vt:lpstr>
      </vt:variant>
      <vt:variant>
        <vt:i4>1</vt:i4>
      </vt:variant>
    </vt:vector>
  </HeadingPairs>
  <TitlesOfParts>
    <vt:vector size="1" baseType="lpstr">
      <vt:lpstr>SCR103 1R</vt:lpstr>
    </vt:vector>
  </TitlesOfParts>
  <Manager>R225</Manager>
  <Company>NJ Office of Legislative Services</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SCR103 1R</dc:title>
  <dc:subject>BANKING AND FINANCE - CONSUMER FINANCE</dc:subject>
  <dc:creator>Senator  RICE</dc:creator>
  <cp:keywords>SCR103|3|LP |253|92|301|!|0|</cp:keywords>
  <dc:description>INTRODUCED MARCH 16, 2020_x000d_
Amended 1/13/21</dc:description>
  <cp:lastModifiedBy>Todaro, Vivian</cp:lastModifiedBy>
  <cp:revision>2</cp:revision>
  <cp:lastPrinted>2021-03-02T20:02:00Z</cp:lastPrinted>
  <dcterms:created xsi:type="dcterms:W3CDTF">2021-03-02T20:02:00Z</dcterms:created>
  <dcterms:modified xsi:type="dcterms:W3CDTF">2021-03-02T20:02:00Z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