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4A1618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ECONOMIC GROWTH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4A1618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 CONCURRENT RESOLUTION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110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4A1618">
        <w:rPr>
          <w:caps/>
          <w:szCs w:val="24"/>
        </w:rPr>
        <w:t>JUNE 25, 2020</w:t>
      </w:r>
    </w:p>
    <w:p w:rsidR="004144CF" w:rsidRDefault="004144CF" w:rsidP="0083060A"/>
    <w:p w:rsidR="00C17C32" w:rsidRDefault="00C17C32" w:rsidP="00C17C32">
      <w:r>
        <w:tab/>
        <w:t>The Senate Economic Growth Committee reports favorably Senate Concurrent Resolution No. 110.</w:t>
      </w:r>
    </w:p>
    <w:p w:rsidR="00C17C32" w:rsidRDefault="00C17C32" w:rsidP="00C17C32">
      <w:r>
        <w:tab/>
        <w:t>As reported, this concurrent resolution urges t</w:t>
      </w:r>
      <w:r w:rsidRPr="0065334A">
        <w:t xml:space="preserve">he United States Congress to enact legislation </w:t>
      </w:r>
      <w:r>
        <w:t>to improve</w:t>
      </w:r>
      <w:r w:rsidRPr="0065334A">
        <w:t xml:space="preserve"> transparency, program design, and perf</w:t>
      </w:r>
      <w:r>
        <w:t>ormance measurement</w:t>
      </w:r>
      <w:r w:rsidRPr="0065334A">
        <w:t xml:space="preserve"> for opportunity funds and investments by those fund</w:t>
      </w:r>
      <w:r>
        <w:t>s</w:t>
      </w:r>
      <w:r w:rsidRPr="0065334A">
        <w:t xml:space="preserve"> in federal opportunity zones.  The </w:t>
      </w:r>
      <w:r>
        <w:t xml:space="preserve">concurrent resolution specifies that the federal </w:t>
      </w:r>
      <w:r w:rsidRPr="0065334A">
        <w:t xml:space="preserve">legislation should require that the United State Department of the Treasury analyze the impact of opportunity </w:t>
      </w:r>
      <w:r>
        <w:t>fund investments</w:t>
      </w:r>
      <w:r w:rsidRPr="0065334A">
        <w:t xml:space="preserve"> on individual opportunity zones </w:t>
      </w:r>
      <w:r>
        <w:t>related to</w:t>
      </w:r>
      <w:r w:rsidRPr="0065334A">
        <w:t xml:space="preserve"> race, employment, homeownership, affordable housing, minority-owned businesses, minority entrepreneurship, gentrification, sustainability, and economic development, and to report the findings annually, along with information related to return</w:t>
      </w:r>
      <w:r>
        <w:t>s on investment</w:t>
      </w:r>
      <w:r w:rsidRPr="0065334A">
        <w:t>, lost federal tax revenue, and deferred federal tax revenue.</w:t>
      </w:r>
    </w:p>
    <w:sectPr w:rsidR="00C17C32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1618" w:rsidRDefault="004A1618">
      <w:r>
        <w:separator/>
      </w:r>
    </w:p>
  </w:endnote>
  <w:endnote w:type="continuationSeparator" w:id="0">
    <w:p w:rsidR="004A1618" w:rsidRDefault="004A16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1618" w:rsidRDefault="004A1618">
      <w:r>
        <w:separator/>
      </w:r>
    </w:p>
  </w:footnote>
  <w:footnote w:type="continuationSeparator" w:id="0">
    <w:p w:rsidR="004A1618" w:rsidRDefault="004A16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1D3FF9" w:rsidP="001D3FF9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1D3FF9" w:rsidRDefault="001D3FF9" w:rsidP="001D3FF9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1618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65D61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D3FF9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6371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4F5B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21F3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618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E722A"/>
    <w:rsid w:val="004F240B"/>
    <w:rsid w:val="005105E1"/>
    <w:rsid w:val="0052178A"/>
    <w:rsid w:val="00525672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4CC0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16D7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17C32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48A6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2E57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2B87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2289"/>
    <o:shapelayout v:ext="edit">
      <o:idmap v:ext="edit" data="1"/>
    </o:shapelayout>
  </w:shapeDefaults>
  <w:decimalSymbol w:val="."/>
  <w:listSeparator w:val=","/>
  <w15:docId w15:val="{DFA7095F-11D1-48A7-85D1-D487CD819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27637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763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132</Words>
  <Characters>873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SCR110 SEG Statement 6/25/20</vt:lpstr>
    </vt:vector>
  </TitlesOfParts>
  <Manager>R224</Manager>
  <Company>NJ OLS DMU</Company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SCR110 SEG Statement 6/25/20</dc:title>
  <dc:subject/>
  <dc:creator>Senate SEG</dc:creator>
  <cp:keywords>SCR110|1|AU |261|0|0|!||</cp:keywords>
  <dc:description/>
  <cp:lastModifiedBy>Franks, Denise</cp:lastModifiedBy>
  <cp:revision>2</cp:revision>
  <cp:lastPrinted>2020-06-26T21:28:00Z</cp:lastPrinted>
  <dcterms:created xsi:type="dcterms:W3CDTF">2020-06-27T00:13:00Z</dcterms:created>
  <dcterms:modified xsi:type="dcterms:W3CDTF">2020-06-27T00:13:00Z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