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CD3" w:rsidRDefault="00D14CD3" w:rsidP="00D14CD3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E45354" w:rsidRDefault="00E45354" w:rsidP="00E45354">
      <w:pPr>
        <w:pStyle w:val="bpuBill"/>
      </w:pPr>
      <w:r>
        <w:t xml:space="preserve">SENATE JOINT RESOLUTION </w:t>
      </w:r>
    </w:p>
    <w:p w:rsidR="00E45354" w:rsidRDefault="00E45354" w:rsidP="00E45354">
      <w:pPr>
        <w:pStyle w:val="bpuBill"/>
      </w:pPr>
      <w:r>
        <w:t xml:space="preserve">No. 41 </w:t>
      </w:r>
    </w:p>
    <w:p w:rsidR="00E45354" w:rsidRPr="009D38FF" w:rsidRDefault="00E45354" w:rsidP="00E4535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309420" r:id="rId7"/>
        </w:object>
      </w:r>
    </w:p>
    <w:p w:rsidR="00E45354" w:rsidRDefault="00E45354" w:rsidP="00E45354">
      <w:pPr>
        <w:pStyle w:val="bpuState"/>
      </w:pPr>
      <w:r>
        <w:t>STATE OF NEW JERSEY</w:t>
      </w:r>
    </w:p>
    <w:p w:rsidR="00E45354" w:rsidRDefault="00E45354" w:rsidP="00E45354">
      <w:pPr>
        <w:pStyle w:val="bpuLegislature"/>
      </w:pPr>
      <w:r>
        <w:t>219th LEGISLATURE</w:t>
      </w:r>
    </w:p>
    <w:p w:rsidR="00E45354" w:rsidRDefault="00E45354" w:rsidP="00E4535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309421" r:id="rId8"/>
        </w:object>
      </w:r>
      <w:r>
        <w:t xml:space="preserve">  </w:t>
      </w:r>
    </w:p>
    <w:p w:rsidR="00E45354" w:rsidRDefault="00E45354" w:rsidP="00E45354">
      <w:pPr>
        <w:pStyle w:val="bpuIntro"/>
      </w:pPr>
      <w:r>
        <w:t>INTRODUCED FEBRUARY 13, 2020</w:t>
      </w:r>
    </w:p>
    <w:p w:rsidR="00E45354" w:rsidRDefault="00E45354" w:rsidP="00E45354">
      <w:pPr>
        <w:pStyle w:val="bpuIntro"/>
      </w:pPr>
    </w:p>
    <w:p w:rsidR="00E45354" w:rsidRDefault="00E45354" w:rsidP="00E45354">
      <w:pPr>
        <w:pStyle w:val="bpuIntro"/>
        <w:sectPr w:rsidR="00E45354" w:rsidSect="004C4E0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45354" w:rsidRDefault="00E45354" w:rsidP="00E45354">
      <w:pPr>
        <w:pStyle w:val="bpuIntro"/>
      </w:pPr>
    </w:p>
    <w:p w:rsidR="00E45354" w:rsidRDefault="00E45354" w:rsidP="00E45354">
      <w:pPr>
        <w:pStyle w:val="bpuSponsor"/>
      </w:pPr>
      <w:r>
        <w:t>Sponsored by:</w:t>
      </w:r>
    </w:p>
    <w:p w:rsidR="00E45354" w:rsidRDefault="00E45354" w:rsidP="00E45354">
      <w:pPr>
        <w:pStyle w:val="bpuSponsor"/>
      </w:pPr>
      <w:r>
        <w:t>Senator  NILSA CRUZ-PEREZ</w:t>
      </w:r>
    </w:p>
    <w:p w:rsidR="00E45354" w:rsidRDefault="00E45354" w:rsidP="00E45354">
      <w:pPr>
        <w:pStyle w:val="bpuSponsor"/>
      </w:pPr>
      <w:r>
        <w:t>District 5 (Camden and Gloucester)</w:t>
      </w:r>
    </w:p>
    <w:p w:rsidR="00E45354" w:rsidRDefault="00E45354" w:rsidP="00E45354">
      <w:pPr>
        <w:pStyle w:val="bpuSponsor"/>
      </w:pPr>
      <w:r>
        <w:t>Senator  DAWN MARIE ADDIEGO</w:t>
      </w:r>
    </w:p>
    <w:p w:rsidR="00E45354" w:rsidRDefault="00E45354" w:rsidP="00E45354">
      <w:pPr>
        <w:pStyle w:val="bpuSponsor"/>
      </w:pPr>
      <w:r>
        <w:t>District 8 (Atlantic, Burlington and Camden)</w:t>
      </w:r>
    </w:p>
    <w:p w:rsidR="00E45354" w:rsidRDefault="004C4E0F" w:rsidP="004C4E0F">
      <w:pPr>
        <w:pStyle w:val="bpuSponsor"/>
      </w:pPr>
      <w:r>
        <w:t>Assemblywoman  YVONNE LOPEZ</w:t>
      </w:r>
    </w:p>
    <w:p w:rsidR="004C4E0F" w:rsidRDefault="004C4E0F" w:rsidP="004C4E0F">
      <w:pPr>
        <w:pStyle w:val="bpuSponsor"/>
      </w:pPr>
      <w:r>
        <w:t>District 19 (Middlesex)</w:t>
      </w:r>
    </w:p>
    <w:p w:rsidR="004C4E0F" w:rsidRDefault="004C4E0F" w:rsidP="004C4E0F">
      <w:pPr>
        <w:pStyle w:val="bpuSponsor"/>
      </w:pPr>
      <w:r>
        <w:t>Assemblywoman  ANGELA V. MCKNIGHT</w:t>
      </w:r>
    </w:p>
    <w:p w:rsidR="004C4E0F" w:rsidRDefault="004C4E0F" w:rsidP="004C4E0F">
      <w:pPr>
        <w:pStyle w:val="bpuSponsor"/>
      </w:pPr>
      <w:r>
        <w:t>District 31 (Hudson)</w:t>
      </w:r>
    </w:p>
    <w:p w:rsidR="004C4E0F" w:rsidRPr="004C4E0F" w:rsidRDefault="004C4E0F" w:rsidP="004C4E0F"/>
    <w:p w:rsidR="00647E8B" w:rsidRDefault="004C4E0F" w:rsidP="004C4E0F">
      <w:pPr>
        <w:pStyle w:val="bpuSponsor"/>
      </w:pPr>
      <w:r>
        <w:t>Co-Sponsored by:</w:t>
      </w:r>
    </w:p>
    <w:p w:rsidR="004C4E0F" w:rsidRPr="004C4E0F" w:rsidRDefault="004C4E0F" w:rsidP="004C4E0F">
      <w:pPr>
        <w:pStyle w:val="bpuSponsor"/>
      </w:pPr>
      <w:r w:rsidRPr="004C4E0F">
        <w:t xml:space="preserve">Senators Gopal, Greenstein, </w:t>
      </w:r>
      <w:proofErr w:type="spellStart"/>
      <w:r w:rsidRPr="004C4E0F">
        <w:t>Pou</w:t>
      </w:r>
      <w:proofErr w:type="spellEnd"/>
      <w:r w:rsidRPr="004C4E0F">
        <w:t xml:space="preserve">, Assemblywomen </w:t>
      </w:r>
      <w:proofErr w:type="spellStart"/>
      <w:r w:rsidRPr="004C4E0F">
        <w:t>Vainieri</w:t>
      </w:r>
      <w:proofErr w:type="spellEnd"/>
      <w:r w:rsidRPr="004C4E0F">
        <w:t xml:space="preserve"> </w:t>
      </w:r>
      <w:proofErr w:type="spellStart"/>
      <w:r w:rsidRPr="004C4E0F">
        <w:t>Huttle</w:t>
      </w:r>
      <w:proofErr w:type="spellEnd"/>
      <w:r w:rsidRPr="004C4E0F">
        <w:t xml:space="preserve">, </w:t>
      </w:r>
      <w:proofErr w:type="spellStart"/>
      <w:r w:rsidRPr="004C4E0F">
        <w:t>Chaparro</w:t>
      </w:r>
      <w:proofErr w:type="spellEnd"/>
      <w:r w:rsidRPr="004C4E0F">
        <w:t xml:space="preserve">, Murphy, Reynolds-Jackson, Assemblyman </w:t>
      </w:r>
      <w:proofErr w:type="spellStart"/>
      <w:r w:rsidRPr="004C4E0F">
        <w:t>Chiaravalloti</w:t>
      </w:r>
      <w:proofErr w:type="spellEnd"/>
      <w:r w:rsidRPr="004C4E0F">
        <w:t xml:space="preserve">, Assemblywomen </w:t>
      </w:r>
      <w:proofErr w:type="spellStart"/>
      <w:r w:rsidRPr="004C4E0F">
        <w:t>Mosquera</w:t>
      </w:r>
      <w:proofErr w:type="spellEnd"/>
      <w:r w:rsidRPr="004C4E0F">
        <w:t xml:space="preserve">, Jimenez, Assemblymen McKeon, </w:t>
      </w:r>
      <w:proofErr w:type="spellStart"/>
      <w:r w:rsidRPr="004C4E0F">
        <w:t>Freiman</w:t>
      </w:r>
      <w:proofErr w:type="spellEnd"/>
      <w:r w:rsidRPr="004C4E0F">
        <w:t xml:space="preserve">, Greenwald, </w:t>
      </w:r>
      <w:proofErr w:type="spellStart"/>
      <w:r w:rsidRPr="004C4E0F">
        <w:t>Karabinchak</w:t>
      </w:r>
      <w:proofErr w:type="spellEnd"/>
      <w:r w:rsidRPr="004C4E0F">
        <w:t xml:space="preserve"> and Assemblywoman </w:t>
      </w:r>
      <w:proofErr w:type="spellStart"/>
      <w:r w:rsidRPr="004C4E0F">
        <w:t>Jasey</w:t>
      </w:r>
      <w:proofErr w:type="spellEnd"/>
    </w:p>
    <w:p w:rsidR="00647E8B" w:rsidRPr="00647E8B" w:rsidRDefault="00647E8B" w:rsidP="00647E8B"/>
    <w:p w:rsidR="00E45354" w:rsidRDefault="00E45354" w:rsidP="00E45354">
      <w:pPr>
        <w:pStyle w:val="bpuSponsor"/>
      </w:pPr>
    </w:p>
    <w:p w:rsidR="004C4E0F" w:rsidRPr="004C4E0F" w:rsidRDefault="004C4E0F" w:rsidP="004C4E0F"/>
    <w:p w:rsidR="00E45354" w:rsidRDefault="00E45354" w:rsidP="00E45354">
      <w:pPr>
        <w:pStyle w:val="bpuSponsor"/>
      </w:pPr>
    </w:p>
    <w:p w:rsidR="00E45354" w:rsidRDefault="00E45354" w:rsidP="00E45354">
      <w:pPr>
        <w:pStyle w:val="bpuSponsor"/>
      </w:pPr>
      <w:r>
        <w:t>SYNOPSIS</w:t>
      </w:r>
    </w:p>
    <w:p w:rsidR="00E45354" w:rsidRDefault="00E45354" w:rsidP="00E45354">
      <w:pPr>
        <w:pStyle w:val="bpuNormText"/>
      </w:pPr>
      <w:r>
        <w:tab/>
        <w:t xml:space="preserve">Designates June 2 of each year as “Gun Violence Awareness Day.” </w:t>
      </w:r>
    </w:p>
    <w:p w:rsidR="00E45354" w:rsidRDefault="00E45354" w:rsidP="00E45354">
      <w:pPr>
        <w:pStyle w:val="bpuNormText"/>
      </w:pPr>
    </w:p>
    <w:p w:rsidR="00E45354" w:rsidRDefault="00E45354" w:rsidP="00E45354">
      <w:pPr>
        <w:pStyle w:val="bpuSponsor"/>
      </w:pPr>
      <w:r>
        <w:t xml:space="preserve">CURRENT VERSION OF TEXT </w:t>
      </w:r>
    </w:p>
    <w:p w:rsidR="00E45354" w:rsidRDefault="00D14CD3" w:rsidP="00E45354">
      <w:pPr>
        <w:pStyle w:val="bpuNormText"/>
      </w:pPr>
      <w:r>
        <w:tab/>
        <w:t>As reported by the Senate Law and Public Safety Committee on February 24, 2020, with amendments.</w:t>
      </w:r>
    </w:p>
    <w:p w:rsidR="00E45354" w:rsidRDefault="00E45354" w:rsidP="00E4535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45354" w:rsidRDefault="00E4535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45354" w:rsidSect="00E4535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F4C12" w:rsidRPr="00677316" w:rsidRDefault="00CF4C12" w:rsidP="00CF4C12">
      <w:pPr>
        <w:pStyle w:val="HangingAnAct"/>
        <w:rPr>
          <w:rStyle w:val="HangingAnActChar"/>
        </w:rPr>
      </w:pPr>
      <w:r w:rsidRPr="00CF4C12">
        <w:rPr>
          <w:rStyle w:val="BillHead"/>
        </w:rPr>
        <w:lastRenderedPageBreak/>
        <w:t>A Joint Resolution</w:t>
      </w:r>
      <w:r w:rsidRPr="006B7FA7">
        <w:rPr>
          <w:rStyle w:val="HangingAnActChar"/>
        </w:rPr>
        <w:t xml:space="preserve"> </w:t>
      </w:r>
      <w:r w:rsidRPr="0086044E">
        <w:rPr>
          <w:rStyle w:val="HangingAnActChar"/>
        </w:rPr>
        <w:t xml:space="preserve">designating June 2 </w:t>
      </w:r>
      <w:r>
        <w:rPr>
          <w:rStyle w:val="HangingAnActChar"/>
        </w:rPr>
        <w:t xml:space="preserve">of </w:t>
      </w:r>
      <w:r w:rsidRPr="0086044E">
        <w:rPr>
          <w:rStyle w:val="HangingAnActChar"/>
        </w:rPr>
        <w:t>each year as “Gun Violence Awareness Day” in the State of New Jersey.</w:t>
      </w:r>
    </w:p>
    <w:p w:rsidR="00CF4C12" w:rsidRDefault="00CF4C12" w:rsidP="00CF4C12"/>
    <w:p w:rsidR="00D14CD3" w:rsidRPr="00036022" w:rsidRDefault="00D14CD3" w:rsidP="00D14CD3">
      <w:pPr>
        <w:pStyle w:val="IndentHang"/>
      </w:pPr>
      <w:r w:rsidRPr="00036022">
        <w:rPr>
          <w:b/>
          <w:bCs/>
          <w:smallCaps/>
        </w:rPr>
        <w:t>Whereas,</w:t>
      </w:r>
      <w:r w:rsidRPr="00036022">
        <w:t xml:space="preserve"> According to data from the Centers for Disease Control and Prevention (CDC), in </w:t>
      </w:r>
      <w:r>
        <w:rPr>
          <w:rFonts w:ascii="Albertus Extra Bold" w:hAnsi="Albertus Extra Bold"/>
          <w:b/>
          <w:spacing w:val="4"/>
          <w:vertAlign w:val="superscript"/>
        </w:rPr>
        <w:t>1</w:t>
      </w:r>
      <w:r w:rsidRPr="00036022">
        <w:rPr>
          <w:rFonts w:ascii="Albertus Extra Bold" w:hAnsi="Albertus Extra Bold"/>
          <w:b/>
          <w:spacing w:val="4"/>
        </w:rPr>
        <w:t>[</w:t>
      </w:r>
      <w:r>
        <w:t>2016</w:t>
      </w:r>
      <w:r w:rsidRPr="00036022">
        <w:rPr>
          <w:rFonts w:ascii="Albertus Extra Bold" w:hAnsi="Albertus Extra Bold"/>
          <w:b/>
          <w:spacing w:val="4"/>
        </w:rPr>
        <w:t>]</w:t>
      </w:r>
      <w:r>
        <w:t xml:space="preserve"> </w:t>
      </w:r>
      <w:r w:rsidRPr="00036022">
        <w:rPr>
          <w:u w:val="single"/>
        </w:rPr>
        <w:t>2017</w:t>
      </w:r>
      <w:r w:rsidRPr="00036022">
        <w:rPr>
          <w:rFonts w:ascii="Albertus Extra Bold" w:hAnsi="Albertus Extra Bold"/>
          <w:b/>
          <w:spacing w:val="4"/>
          <w:vertAlign w:val="superscript"/>
        </w:rPr>
        <w:t>1</w:t>
      </w:r>
      <w:r w:rsidRPr="00036022">
        <w:t xml:space="preserve"> there were a total of </w:t>
      </w:r>
      <w:r>
        <w:rPr>
          <w:rFonts w:ascii="Albertus Extra Bold" w:hAnsi="Albertus Extra Bold"/>
          <w:b/>
          <w:spacing w:val="4"/>
          <w:vertAlign w:val="superscript"/>
        </w:rPr>
        <w:t>1</w:t>
      </w:r>
      <w:r w:rsidRPr="00036022">
        <w:rPr>
          <w:rFonts w:ascii="Albertus Extra Bold" w:hAnsi="Albertus Extra Bold"/>
          <w:b/>
          <w:spacing w:val="4"/>
        </w:rPr>
        <w:t>[</w:t>
      </w:r>
      <w:r w:rsidRPr="00036022">
        <w:t>38,658</w:t>
      </w:r>
      <w:r w:rsidRPr="00036022">
        <w:rPr>
          <w:rFonts w:ascii="Albertus Extra Bold" w:hAnsi="Albertus Extra Bold"/>
          <w:b/>
          <w:spacing w:val="4"/>
        </w:rPr>
        <w:t>]</w:t>
      </w:r>
      <w:r>
        <w:t xml:space="preserve"> </w:t>
      </w:r>
      <w:r>
        <w:rPr>
          <w:u w:val="single"/>
        </w:rPr>
        <w:t>39,773</w:t>
      </w:r>
      <w:r w:rsidRPr="00036022">
        <w:rPr>
          <w:rFonts w:ascii="Albertus Extra Bold" w:hAnsi="Albertus Extra Bold"/>
          <w:b/>
          <w:spacing w:val="4"/>
          <w:vertAlign w:val="superscript"/>
        </w:rPr>
        <w:t>1</w:t>
      </w:r>
      <w:r w:rsidRPr="00036022">
        <w:t xml:space="preserve"> firearm related deaths in the United States and of those deaths an estimated </w:t>
      </w:r>
      <w:r>
        <w:rPr>
          <w:rFonts w:ascii="Albertus Extra Bold" w:hAnsi="Albertus Extra Bold"/>
          <w:b/>
          <w:spacing w:val="4"/>
          <w:vertAlign w:val="superscript"/>
        </w:rPr>
        <w:t>1</w:t>
      </w:r>
      <w:r w:rsidRPr="00036022">
        <w:rPr>
          <w:rFonts w:ascii="Albertus Extra Bold" w:hAnsi="Albertus Extra Bold"/>
          <w:b/>
          <w:spacing w:val="4"/>
        </w:rPr>
        <w:t>[</w:t>
      </w:r>
      <w:r w:rsidRPr="00036022">
        <w:t>13,000</w:t>
      </w:r>
      <w:r w:rsidRPr="00036022">
        <w:rPr>
          <w:rFonts w:ascii="Albertus Extra Bold" w:hAnsi="Albertus Extra Bold"/>
          <w:b/>
          <w:spacing w:val="4"/>
        </w:rPr>
        <w:t>]</w:t>
      </w:r>
      <w:r>
        <w:t xml:space="preserve"> </w:t>
      </w:r>
      <w:r>
        <w:rPr>
          <w:u w:val="single"/>
        </w:rPr>
        <w:t>14,542</w:t>
      </w:r>
      <w:r w:rsidRPr="00036022">
        <w:rPr>
          <w:rFonts w:ascii="Albertus Extra Bold" w:hAnsi="Albertus Extra Bold"/>
          <w:b/>
          <w:spacing w:val="4"/>
          <w:vertAlign w:val="superscript"/>
        </w:rPr>
        <w:t>1</w:t>
      </w:r>
      <w:r w:rsidRPr="00036022">
        <w:t xml:space="preserve"> are attributed to firearm homicides; and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>
        <w:rPr>
          <w:rFonts w:ascii="Albertus Extra Bold" w:hAnsi="Albertus Extra Bold"/>
          <w:b/>
          <w:bCs/>
          <w:smallCaps/>
          <w:vertAlign w:val="superscript"/>
        </w:rPr>
        <w:t>1</w:t>
      </w:r>
      <w:r w:rsidRPr="00036022">
        <w:rPr>
          <w:rFonts w:ascii="Albertus Extra Bold" w:hAnsi="Albertus Extra Bold"/>
          <w:b/>
        </w:rPr>
        <w:t>[</w:t>
      </w:r>
      <w:r w:rsidRPr="00036022">
        <w:rPr>
          <w:b/>
          <w:bCs/>
          <w:smallCaps/>
        </w:rPr>
        <w:t>Whereas,</w:t>
      </w:r>
      <w:r w:rsidRPr="00036022">
        <w:t xml:space="preserve"> The CDC data indicates that nationwide an annual average of 67,197 nonfatal firearm injuries occur; and</w:t>
      </w:r>
      <w:r w:rsidRPr="0003602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t>Whereas,</w:t>
      </w:r>
      <w:r w:rsidRPr="00036022">
        <w:t xml:space="preserve"> According to the CDC, in New Jersey there were </w:t>
      </w:r>
      <w:r>
        <w:rPr>
          <w:rFonts w:ascii="Albertus Extra Bold" w:hAnsi="Albertus Extra Bold"/>
          <w:b/>
          <w:vertAlign w:val="superscript"/>
        </w:rPr>
        <w:t>1</w:t>
      </w:r>
      <w:r w:rsidRPr="0056187A">
        <w:rPr>
          <w:rFonts w:ascii="Albertus Extra Bold" w:hAnsi="Albertus Extra Bold"/>
          <w:b/>
        </w:rPr>
        <w:t>[</w:t>
      </w:r>
      <w:r w:rsidRPr="00036022">
        <w:t>485</w:t>
      </w:r>
      <w:r w:rsidRPr="0056187A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478</w:t>
      </w:r>
      <w:r w:rsidRPr="0056187A">
        <w:rPr>
          <w:rFonts w:ascii="Albertus Extra Bold" w:hAnsi="Albertus Extra Bold"/>
          <w:b/>
          <w:vertAlign w:val="superscript"/>
        </w:rPr>
        <w:t>1</w:t>
      </w:r>
      <w:r w:rsidRPr="00036022">
        <w:t xml:space="preserve"> firearm related deaths in </w:t>
      </w:r>
      <w:r>
        <w:rPr>
          <w:rFonts w:ascii="Albertus Extra Bold" w:hAnsi="Albertus Extra Bold"/>
          <w:b/>
          <w:vertAlign w:val="superscript"/>
        </w:rPr>
        <w:t>1</w:t>
      </w:r>
      <w:r w:rsidRPr="0056187A">
        <w:rPr>
          <w:rFonts w:ascii="Albertus Extra Bold" w:hAnsi="Albertus Extra Bold"/>
          <w:b/>
        </w:rPr>
        <w:t>[</w:t>
      </w:r>
      <w:r w:rsidRPr="00036022">
        <w:t>2016</w:t>
      </w:r>
      <w:r w:rsidRPr="0056187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2017</w:t>
      </w:r>
      <w:r w:rsidRPr="0056187A">
        <w:rPr>
          <w:rFonts w:ascii="Albertus Extra Bold" w:hAnsi="Albertus Extra Bold"/>
          <w:b/>
          <w:vertAlign w:val="superscript"/>
        </w:rPr>
        <w:t>1</w:t>
      </w:r>
      <w:r w:rsidRPr="00036022">
        <w:t xml:space="preserve"> and </w:t>
      </w:r>
      <w:r>
        <w:rPr>
          <w:rFonts w:ascii="Albertus Extra Bold" w:hAnsi="Albertus Extra Bold"/>
          <w:b/>
          <w:vertAlign w:val="superscript"/>
        </w:rPr>
        <w:t>1</w:t>
      </w:r>
      <w:r w:rsidRPr="0056187A">
        <w:rPr>
          <w:rFonts w:ascii="Albertus Extra Bold" w:hAnsi="Albertus Extra Bold"/>
          <w:b/>
        </w:rPr>
        <w:t>[</w:t>
      </w:r>
      <w:r w:rsidRPr="00036022">
        <w:t>475</w:t>
      </w:r>
      <w:r w:rsidRPr="0056187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420</w:t>
      </w:r>
      <w:r w:rsidRPr="0056187A">
        <w:rPr>
          <w:rFonts w:ascii="Albertus Extra Bold" w:hAnsi="Albertus Extra Bold"/>
          <w:b/>
          <w:vertAlign w:val="superscript"/>
        </w:rPr>
        <w:t>1</w:t>
      </w:r>
      <w:r w:rsidRPr="00036022">
        <w:t xml:space="preserve"> firearm related deaths in </w:t>
      </w:r>
      <w:r>
        <w:rPr>
          <w:rFonts w:ascii="Albertus Extra Bold" w:hAnsi="Albertus Extra Bold"/>
          <w:b/>
          <w:vertAlign w:val="superscript"/>
        </w:rPr>
        <w:t>1</w:t>
      </w:r>
      <w:r w:rsidRPr="0056187A">
        <w:rPr>
          <w:rFonts w:ascii="Albertus Extra Bold" w:hAnsi="Albertus Extra Bold"/>
          <w:b/>
        </w:rPr>
        <w:t>[</w:t>
      </w:r>
      <w:r w:rsidRPr="00036022">
        <w:t>2015</w:t>
      </w:r>
      <w:r w:rsidRPr="0056187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2018</w:t>
      </w:r>
      <w:r w:rsidRPr="0056187A">
        <w:rPr>
          <w:rFonts w:ascii="Albertus Extra Bold" w:hAnsi="Albertus Extra Bold"/>
          <w:b/>
          <w:vertAlign w:val="superscript"/>
        </w:rPr>
        <w:t>1</w:t>
      </w:r>
      <w:r w:rsidRPr="00036022">
        <w:t>; and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t>Whereas,</w:t>
      </w:r>
      <w:r w:rsidRPr="00036022">
        <w:t xml:space="preserve"> Americans are 25 times more likely to be murdered with firearms than people in other developed countries; and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  <w:rPr>
          <w:b/>
          <w:bCs/>
          <w:smallCaps/>
        </w:rPr>
      </w:pPr>
      <w:r w:rsidRPr="00036022">
        <w:rPr>
          <w:b/>
          <w:bCs/>
          <w:smallCaps/>
        </w:rPr>
        <w:t xml:space="preserve">Whereas, </w:t>
      </w:r>
      <w:r w:rsidRPr="00036022">
        <w:t>Firearm violence is the leading cause of death for women in instances of domestic violence in the United States each year; and</w:t>
      </w:r>
      <w:r w:rsidRPr="00036022">
        <w:rPr>
          <w:b/>
          <w:bCs/>
          <w:smallCaps/>
        </w:rPr>
        <w:t xml:space="preserve"> 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t>Whereas,</w:t>
      </w:r>
      <w:r w:rsidRPr="00036022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651C10">
        <w:rPr>
          <w:rFonts w:ascii="Albertus Extra Bold" w:hAnsi="Albertus Extra Bold"/>
          <w:b/>
        </w:rPr>
        <w:t>[</w:t>
      </w:r>
      <w:r w:rsidRPr="00036022">
        <w:t>Thousands of children under the age of 19 annually die as a result of firearms</w:t>
      </w:r>
      <w:r w:rsidRPr="00651C10">
        <w:rPr>
          <w:rFonts w:ascii="Albertus Extra Bold" w:hAnsi="Albertus Extra Bold"/>
          <w:b/>
        </w:rPr>
        <w:t>]</w:t>
      </w:r>
      <w:r w:rsidRPr="00BA6BDC">
        <w:t xml:space="preserve"> </w:t>
      </w:r>
      <w:r>
        <w:rPr>
          <w:u w:val="single"/>
        </w:rPr>
        <w:t xml:space="preserve">An estimated 1,500 children die annually as a result of firearms, according to the </w:t>
      </w:r>
      <w:proofErr w:type="spellStart"/>
      <w:r>
        <w:rPr>
          <w:u w:val="single"/>
        </w:rPr>
        <w:t>Giffords</w:t>
      </w:r>
      <w:proofErr w:type="spellEnd"/>
      <w:r>
        <w:rPr>
          <w:u w:val="single"/>
        </w:rPr>
        <w:t xml:space="preserve"> Law Center to Prevent Gun Violence</w:t>
      </w:r>
      <w:r w:rsidRPr="00651C10">
        <w:rPr>
          <w:rFonts w:ascii="Albertus Extra Bold" w:hAnsi="Albertus Extra Bold"/>
          <w:b/>
          <w:vertAlign w:val="superscript"/>
        </w:rPr>
        <w:t>1</w:t>
      </w:r>
      <w:r w:rsidRPr="00036022">
        <w:t xml:space="preserve">; and 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t>Whereas,</w:t>
      </w:r>
      <w:r w:rsidRPr="00036022">
        <w:t xml:space="preserve"> One example of these tragic child victims is Hadiya Pendleton who, at the age of 15, was shot and killed in Chicago just one week after performing at </w:t>
      </w:r>
      <w:r w:rsidRPr="004D409D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former</w:t>
      </w:r>
      <w:r w:rsidRPr="004D409D"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4D409D">
        <w:t>President</w:t>
      </w:r>
      <w:r w:rsidRPr="00036022">
        <w:t xml:space="preserve"> </w:t>
      </w:r>
      <w:r w:rsidRPr="004D409D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Barack</w:t>
      </w:r>
      <w:r w:rsidRPr="004D409D">
        <w:rPr>
          <w:rFonts w:ascii="Albertus Extra Bold" w:hAnsi="Albertus Extra Bold"/>
          <w:b/>
          <w:vertAlign w:val="superscript"/>
        </w:rPr>
        <w:t>1</w:t>
      </w:r>
      <w:r w:rsidRPr="004D409D">
        <w:t xml:space="preserve"> Obama’s</w:t>
      </w:r>
      <w:r w:rsidRPr="00036022">
        <w:t xml:space="preserve"> second inaugural parade in 2013; and 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t>Whereas,</w:t>
      </w:r>
      <w:r w:rsidRPr="00036022">
        <w:t xml:space="preserve"> On June 2, 2013, a group of Chicago teens commemorated the life of their slain friend, Hadiya, by marching to raise awareness about firearm violence; and 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t>Whereas,</w:t>
      </w:r>
      <w:r w:rsidRPr="00036022">
        <w:t xml:space="preserve"> Many communities across the nation have marched annually on June 2 to recognize the death of Hadiya, to honor the many lives cut short and the hundreds more injured by firearm violence every day, and to demand action to end these tragedies; and 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t>Whereas,</w:t>
      </w:r>
      <w:r w:rsidRPr="00036022">
        <w:t xml:space="preserve"> Support for the Second Amendment rights of law-abiding citizens goes hand-in-hand with keeping firearms away from dangerous people; and</w:t>
      </w:r>
    </w:p>
    <w:p w:rsidR="00D14CD3" w:rsidRPr="00036022" w:rsidRDefault="00D14CD3" w:rsidP="00D14CD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ind w:left="288" w:hanging="288"/>
      </w:pPr>
      <w:r w:rsidRPr="00036022">
        <w:rPr>
          <w:b/>
          <w:bCs/>
          <w:smallCaps/>
        </w:rPr>
        <w:t>Whereas,</w:t>
      </w:r>
      <w:r w:rsidRPr="00036022">
        <w:t xml:space="preserve"> The goals of the national “Gun Violence Awareness Day” campaign are: to promote greater awareness about firearm violence and firearm safety; to concentrate annual heightened attention to firearm violence during the summer months, when firearm violence typically increases; and to bring citizens and community leaders together to discuss ways to make our communities safer; and </w:t>
      </w:r>
    </w:p>
    <w:p w:rsidR="00D14CD3" w:rsidRPr="00036022" w:rsidRDefault="00D14CD3" w:rsidP="00D14CD3">
      <w:pPr>
        <w:tabs>
          <w:tab w:val="clear" w:pos="288"/>
          <w:tab w:val="left" w:pos="270"/>
        </w:tabs>
        <w:ind w:left="270" w:hanging="270"/>
      </w:pPr>
      <w:r w:rsidRPr="00036022">
        <w:rPr>
          <w:b/>
          <w:bCs/>
          <w:smallCaps/>
        </w:rPr>
        <w:t>Whereas,</w:t>
      </w:r>
      <w:r w:rsidRPr="00036022">
        <w:t xml:space="preserve"> The State of New Jersey encourages all citizens to support their local communities’ efforts to prevent the tragic effects of firearm violence and declares June 2 of every year as “Gun Violence Awareness Day” in this State to honor and remember all victims and survivors of firearm violence and to declare that we as a country must do more to reduce firearm violence; now, therefore, </w:t>
      </w:r>
    </w:p>
    <w:p w:rsidR="00D14CD3" w:rsidRDefault="00D14CD3" w:rsidP="00CF4C12">
      <w:pPr>
        <w:tabs>
          <w:tab w:val="clear" w:pos="288"/>
          <w:tab w:val="left" w:pos="270"/>
        </w:tabs>
        <w:ind w:left="270" w:hanging="270"/>
        <w:rPr>
          <w:rStyle w:val="BillHeading2"/>
        </w:rPr>
      </w:pPr>
    </w:p>
    <w:p w:rsidR="00CF4C12" w:rsidRPr="00AA7880" w:rsidRDefault="00CF4C12" w:rsidP="00CF4C12">
      <w:pPr>
        <w:tabs>
          <w:tab w:val="clear" w:pos="288"/>
          <w:tab w:val="left" w:pos="270"/>
        </w:tabs>
        <w:ind w:left="270" w:hanging="270"/>
      </w:pPr>
      <w:r>
        <w:rPr>
          <w:rStyle w:val="BillHeading2"/>
        </w:rPr>
        <w:t xml:space="preserve">Be It Resolved </w:t>
      </w:r>
      <w:r>
        <w:rPr>
          <w:rStyle w:val="BillLanguage"/>
        </w:rPr>
        <w:t>by the Senate and General Assembly of the State of New Jersey:</w:t>
      </w:r>
    </w:p>
    <w:p w:rsidR="00CF4C12" w:rsidRPr="00D71D68" w:rsidRDefault="00CF4C12" w:rsidP="00CF4C12"/>
    <w:p w:rsidR="00CF4C12" w:rsidRDefault="00CF4C12" w:rsidP="00CF4C12">
      <w:r>
        <w:tab/>
        <w:t>1.</w:t>
      </w:r>
      <w:r>
        <w:tab/>
        <w:t>June 2 of each year is designated as “</w:t>
      </w:r>
      <w:r w:rsidRPr="0086044E">
        <w:t>Gun Violence Awareness Day</w:t>
      </w:r>
      <w:r>
        <w:t>” in New Jersey to</w:t>
      </w:r>
      <w:r w:rsidRPr="00A87D3C">
        <w:t xml:space="preserve"> honor and remember all victims </w:t>
      </w:r>
      <w:r>
        <w:t xml:space="preserve">of, </w:t>
      </w:r>
      <w:r w:rsidRPr="00A87D3C">
        <w:t xml:space="preserve">and </w:t>
      </w:r>
      <w:r>
        <w:t>others affected by, firearm</w:t>
      </w:r>
      <w:r w:rsidRPr="00A87D3C">
        <w:t xml:space="preserve"> violence</w:t>
      </w:r>
      <w:r>
        <w:t>.</w:t>
      </w:r>
    </w:p>
    <w:p w:rsidR="00CF4C12" w:rsidRDefault="00CF4C12" w:rsidP="00CF4C12"/>
    <w:p w:rsidR="00CF4C12" w:rsidRDefault="00CF4C12" w:rsidP="00CF4C12">
      <w:r>
        <w:tab/>
        <w:t>2.</w:t>
      </w:r>
      <w:r>
        <w:tab/>
        <w:t>The Governor shall annually issue a proclamation and call upon public officials, private organizations, and all citizens of this State to observe “</w:t>
      </w:r>
      <w:r w:rsidRPr="0086044E">
        <w:t>Gun Violence Awareness Day</w:t>
      </w:r>
      <w:r>
        <w:t xml:space="preserve">” with appropriate awareness activities and programs. </w:t>
      </w:r>
    </w:p>
    <w:p w:rsidR="00CF4C12" w:rsidRDefault="00CF4C12" w:rsidP="00CF4C12"/>
    <w:p w:rsidR="00CF4C12" w:rsidRDefault="00CF4C12" w:rsidP="00CF4C12">
      <w:r>
        <w:tab/>
        <w:t>3.</w:t>
      </w:r>
      <w:r>
        <w:tab/>
        <w:t>This joint resolution shall take effect immediately.</w:t>
      </w:r>
    </w:p>
    <w:sectPr w:rsidR="00CF4C12" w:rsidSect="00D14CD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2070" w:left="2880" w:header="1181" w:footer="1296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A84" w:rsidRDefault="00701A84">
      <w:r>
        <w:separator/>
      </w:r>
    </w:p>
  </w:endnote>
  <w:endnote w:type="continuationSeparator" w:id="0">
    <w:p w:rsidR="00701A84" w:rsidRDefault="00701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F13" w:rsidRDefault="004C4E0F" w:rsidP="004C4E0F">
    <w:pPr>
      <w:pStyle w:val="sponUdate"/>
    </w:pPr>
    <w:r>
      <w:t>(Sponsorship Updated As Of: 6/3/2021)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CD3" w:rsidRPr="00921C91" w:rsidRDefault="00D14CD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14CD3" w:rsidRPr="00921C91" w:rsidRDefault="00D14CD3">
    <w:pPr>
      <w:pStyle w:val="Footer"/>
      <w:rPr>
        <w:szCs w:val="18"/>
      </w:rPr>
    </w:pPr>
  </w:p>
  <w:p w:rsidR="00D14CD3" w:rsidRPr="00921C91" w:rsidRDefault="00D14CD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14CD3" w:rsidRDefault="00D14CD3" w:rsidP="00686AEB">
    <w:pPr>
      <w:pStyle w:val="Footer"/>
    </w:pPr>
    <w:r>
      <w:tab/>
      <w:t>Matter enclosed in superscript numerals has been adopted as follows:</w:t>
    </w:r>
  </w:p>
  <w:p w:rsidR="00D14CD3" w:rsidRDefault="00D14CD3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SLP committee amendments adopted February 24, 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A84" w:rsidRDefault="00701A84">
      <w:r>
        <w:separator/>
      </w:r>
    </w:p>
  </w:footnote>
  <w:footnote w:type="continuationSeparator" w:id="0">
    <w:p w:rsidR="00701A84" w:rsidRDefault="00701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20F8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45354" w:rsidRDefault="00E45354" w:rsidP="00E45354">
    <w:pPr>
      <w:pStyle w:val="bpuHeadSpon"/>
    </w:pPr>
    <w:r w:rsidRPr="00E45354">
      <w:rPr>
        <w:rStyle w:val="bpuHeadSponChar"/>
      </w:rPr>
      <w:t>SJR41</w:t>
    </w:r>
    <w:r>
      <w:t xml:space="preserve"> </w:t>
    </w:r>
    <w:r w:rsidR="00D14CD3">
      <w:t xml:space="preserve">[1R] </w:t>
    </w:r>
    <w:r>
      <w:t>CRUZ-PEREZ, ADDIEGO</w:t>
    </w:r>
  </w:p>
  <w:p w:rsidR="00E45354" w:rsidRDefault="00E45354" w:rsidP="00E4535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42FD">
      <w:rPr>
        <w:noProof/>
      </w:rPr>
      <w:t>3</w:t>
    </w:r>
    <w:r>
      <w:fldChar w:fldCharType="end"/>
    </w:r>
  </w:p>
  <w:p w:rsidR="00E45354" w:rsidRDefault="00E45354" w:rsidP="00E4535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45354" w:rsidRDefault="00E45354" w:rsidP="00E45354">
    <w:pPr>
      <w:pStyle w:val="bpuHeadSpon"/>
    </w:pPr>
    <w:r w:rsidRPr="00E45354">
      <w:rPr>
        <w:rStyle w:val="bpuHeadSponChar"/>
      </w:rPr>
      <w:t>SJR41</w:t>
    </w:r>
    <w:r>
      <w:t xml:space="preserve"> </w:t>
    </w:r>
    <w:r w:rsidR="00D14CD3">
      <w:t xml:space="preserve">[1R] </w:t>
    </w:r>
    <w:r>
      <w:t>CRUZ-PEREZ, ADDIEGO</w:t>
    </w:r>
  </w:p>
  <w:p w:rsidR="00E45354" w:rsidRDefault="00E45354" w:rsidP="00E4535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42FD">
      <w:rPr>
        <w:noProof/>
      </w:rPr>
      <w:t>2</w:t>
    </w:r>
    <w:r>
      <w:fldChar w:fldCharType="end"/>
    </w:r>
  </w:p>
  <w:p w:rsidR="00E45354" w:rsidRDefault="00E45354" w:rsidP="00E4535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8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1639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4E0F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47E8B"/>
    <w:rsid w:val="00665CBC"/>
    <w:rsid w:val="00667A5C"/>
    <w:rsid w:val="00677316"/>
    <w:rsid w:val="00686AEB"/>
    <w:rsid w:val="006A23E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1A84"/>
    <w:rsid w:val="00707CD3"/>
    <w:rsid w:val="00716BB9"/>
    <w:rsid w:val="007256D1"/>
    <w:rsid w:val="007279FD"/>
    <w:rsid w:val="007502CB"/>
    <w:rsid w:val="00752D79"/>
    <w:rsid w:val="00752E20"/>
    <w:rsid w:val="00754F13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508F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42FD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53F4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525F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0FB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3887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08C9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6E91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1F2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138E"/>
    <w:rsid w:val="00CA2442"/>
    <w:rsid w:val="00CA4725"/>
    <w:rsid w:val="00CB6246"/>
    <w:rsid w:val="00CC0A17"/>
    <w:rsid w:val="00CD0F93"/>
    <w:rsid w:val="00CD1BD1"/>
    <w:rsid w:val="00CD528D"/>
    <w:rsid w:val="00CE78BF"/>
    <w:rsid w:val="00CF4C12"/>
    <w:rsid w:val="00CF65EB"/>
    <w:rsid w:val="00CF72AD"/>
    <w:rsid w:val="00D00194"/>
    <w:rsid w:val="00D02441"/>
    <w:rsid w:val="00D039F4"/>
    <w:rsid w:val="00D10496"/>
    <w:rsid w:val="00D11173"/>
    <w:rsid w:val="00D1215F"/>
    <w:rsid w:val="00D14CD3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024D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5354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F8F"/>
    <w:rsid w:val="00EC791D"/>
    <w:rsid w:val="00EC7CA6"/>
    <w:rsid w:val="00ED3C5D"/>
    <w:rsid w:val="00ED4553"/>
    <w:rsid w:val="00ED4EBB"/>
    <w:rsid w:val="00F00D08"/>
    <w:rsid w:val="00F01821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0976BCC"/>
  <w15:docId w15:val="{EB029346-C363-4039-B079-1C1BDC74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CF4C12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B508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508C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453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633</Words>
  <Characters>3433</Characters>
  <Application>Microsoft Office Word</Application>
  <DocSecurity>0</DocSecurity>
  <Lines>103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SJR41 1R</vt:lpstr>
    </vt:vector>
  </TitlesOfParts>
  <Manager>R224</Manager>
  <Company>NJ Office of Legislative Services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SJR41 1R</dc:title>
  <dc:subject/>
  <dc:creator>Senator  CRUZ-PEREZ, Senator  ADDIEGO</dc:creator>
  <cp:keywords>SJR41|3|LP |268|92|301|!||</cp:keywords>
  <dc:description>INTRODUCED FEBRUARY 13, 2020_x000d_
Amended 2/24/20</dc:description>
  <cp:lastModifiedBy>Todaro, Vivian</cp:lastModifiedBy>
  <cp:revision>2</cp:revision>
  <cp:lastPrinted>2021-06-04T14:57:00Z</cp:lastPrinted>
  <dcterms:created xsi:type="dcterms:W3CDTF">2021-06-04T14:57:00Z</dcterms:created>
  <dcterms:modified xsi:type="dcterms:W3CDTF">2021-06-04T14:57:00Z</dcterms:modified>
  <cp:category>s.1: 36:2-337;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