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690" w:rsidRDefault="007C7690" w:rsidP="007C7690">
      <w:pPr>
        <w:pStyle w:val="bpuBill"/>
      </w:pPr>
      <w:bookmarkStart w:id="0" w:name="bpuFrontPg"/>
      <w:bookmarkStart w:id="1" w:name="_GoBack"/>
      <w:bookmarkEnd w:id="0"/>
      <w:bookmarkEnd w:id="1"/>
      <w:r>
        <w:t xml:space="preserve">SENATE RESOLUTION No. 43 </w:t>
      </w:r>
    </w:p>
    <w:p w:rsidR="007C7690" w:rsidRPr="009D38FF" w:rsidRDefault="007C7690" w:rsidP="007C76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087" r:id="rId7"/>
        </w:object>
      </w:r>
    </w:p>
    <w:p w:rsidR="007C7690" w:rsidRDefault="007C7690" w:rsidP="007C7690">
      <w:pPr>
        <w:pStyle w:val="bpuState"/>
      </w:pPr>
      <w:r>
        <w:t>STATE OF NEW JERSEY</w:t>
      </w:r>
    </w:p>
    <w:p w:rsidR="007C7690" w:rsidRDefault="007C7690" w:rsidP="007C7690">
      <w:pPr>
        <w:pStyle w:val="bpuLegislature"/>
      </w:pPr>
      <w:r>
        <w:t>219th LEGISLATURE</w:t>
      </w:r>
    </w:p>
    <w:p w:rsidR="007C7690" w:rsidRDefault="007C7690" w:rsidP="007C7690">
      <w:pPr>
        <w:pStyle w:val="bpuWpGraphic"/>
      </w:pPr>
      <w:r>
        <w:object w:dxaOrig="8985" w:dyaOrig="255">
          <v:shape id="_x0000_i1026" type="#_x0000_t75" style="width:6in;height:12pt" o:ole="">
            <v:imagedata r:id="rId6" o:title=""/>
          </v:shape>
          <o:OLEObject Type="Embed" ProgID="WPWin6.1" ShapeID="_x0000_i1026" DrawAspect="Content" ObjectID="_1643182088" r:id="rId8"/>
        </w:object>
      </w:r>
      <w:r>
        <w:t xml:space="preserve">  </w:t>
      </w:r>
    </w:p>
    <w:p w:rsidR="007C7690" w:rsidRDefault="007C7690" w:rsidP="007C7690">
      <w:pPr>
        <w:pStyle w:val="bpuIntro"/>
      </w:pPr>
      <w:r>
        <w:t>INTRODUCED FEBRUARY 13, 2020</w:t>
      </w:r>
    </w:p>
    <w:p w:rsidR="007C7690" w:rsidRDefault="007C7690" w:rsidP="007C7690">
      <w:pPr>
        <w:pStyle w:val="bpuIntro"/>
      </w:pPr>
    </w:p>
    <w:p w:rsidR="007C7690" w:rsidRDefault="007C7690" w:rsidP="007C7690">
      <w:pPr>
        <w:pStyle w:val="bpuIntro"/>
        <w:sectPr w:rsidR="007C7690" w:rsidSect="007C7690">
          <w:headerReference w:type="even" r:id="rId9"/>
          <w:headerReference w:type="default" r:id="rId10"/>
          <w:pgSz w:w="12240" w:h="20160" w:code="5"/>
          <w:pgMar w:top="2160" w:right="1440" w:bottom="1440" w:left="1440" w:header="72" w:footer="720" w:gutter="0"/>
          <w:pgNumType w:start="1"/>
          <w:cols w:space="720"/>
          <w:docGrid w:linePitch="360"/>
        </w:sectPr>
      </w:pPr>
    </w:p>
    <w:p w:rsidR="007C7690" w:rsidRDefault="007C7690" w:rsidP="007C7690">
      <w:pPr>
        <w:pStyle w:val="bpuIntro"/>
      </w:pPr>
    </w:p>
    <w:p w:rsidR="007C7690" w:rsidRDefault="007C7690" w:rsidP="007C7690">
      <w:pPr>
        <w:pStyle w:val="bpuSponsor"/>
      </w:pPr>
      <w:r>
        <w:t>Sponsored by:</w:t>
      </w:r>
    </w:p>
    <w:p w:rsidR="007C7690" w:rsidRDefault="007C7690" w:rsidP="007C7690">
      <w:pPr>
        <w:pStyle w:val="bpuSponsor"/>
      </w:pPr>
      <w:r>
        <w:t>Senator  SHIRLEY K. TURNER</w:t>
      </w:r>
    </w:p>
    <w:p w:rsidR="007C7690" w:rsidRDefault="007C7690" w:rsidP="007C7690">
      <w:pPr>
        <w:pStyle w:val="bpuSponsor"/>
      </w:pPr>
      <w:r>
        <w:t>District 15 (Hunterdon and Mercer)</w:t>
      </w:r>
    </w:p>
    <w:p w:rsidR="007C7690" w:rsidRDefault="007C7690" w:rsidP="007C7690">
      <w:pPr>
        <w:pStyle w:val="bpuSponsor"/>
      </w:pPr>
    </w:p>
    <w:p w:rsidR="007C7690" w:rsidRDefault="007C7690" w:rsidP="007C7690">
      <w:pPr>
        <w:pStyle w:val="bpuSponsor"/>
      </w:pPr>
    </w:p>
    <w:p w:rsidR="007C7690" w:rsidRDefault="007C7690" w:rsidP="007C7690">
      <w:pPr>
        <w:pStyle w:val="bpuSponsor"/>
      </w:pPr>
    </w:p>
    <w:p w:rsidR="007C7690" w:rsidRDefault="007C7690" w:rsidP="007C7690">
      <w:pPr>
        <w:pStyle w:val="bpuSponsor"/>
      </w:pPr>
    </w:p>
    <w:p w:rsidR="007C7690" w:rsidRDefault="007C7690" w:rsidP="007C7690">
      <w:pPr>
        <w:pStyle w:val="bpuSponsor"/>
      </w:pPr>
      <w:r>
        <w:t>SYNOPSIS</w:t>
      </w:r>
    </w:p>
    <w:p w:rsidR="007C7690" w:rsidRDefault="00DD4DE9" w:rsidP="007C7690">
      <w:pPr>
        <w:pStyle w:val="bpuNormText"/>
      </w:pPr>
      <w:r>
        <w:tab/>
      </w:r>
      <w:r w:rsidR="007C7690">
        <w:t>Urges President and Congress to enact legislation reinstating the separation between commercial and investment banking.</w:t>
      </w:r>
    </w:p>
    <w:p w:rsidR="007C7690" w:rsidRDefault="007C7690" w:rsidP="007C7690">
      <w:pPr>
        <w:pStyle w:val="bpuNormText"/>
      </w:pPr>
    </w:p>
    <w:p w:rsidR="007C7690" w:rsidRDefault="007C7690" w:rsidP="007C7690">
      <w:pPr>
        <w:pStyle w:val="bpuSponsor"/>
      </w:pPr>
      <w:r>
        <w:t xml:space="preserve">CURRENT VERSION OF TEXT </w:t>
      </w:r>
    </w:p>
    <w:p w:rsidR="007C7690" w:rsidRDefault="007C7690" w:rsidP="007C7690">
      <w:pPr>
        <w:pStyle w:val="bpuNormText"/>
      </w:pPr>
      <w:r>
        <w:tab/>
        <w:t>As introduced.</w:t>
      </w:r>
    </w:p>
    <w:p w:rsidR="007C7690" w:rsidRDefault="007C7690" w:rsidP="007C76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C7690" w:rsidRDefault="007C7690" w:rsidP="008916EC">
      <w:pPr>
        <w:pStyle w:val="FronterPage"/>
        <w:tabs>
          <w:tab w:val="clear" w:pos="720"/>
          <w:tab w:val="clear" w:pos="1440"/>
          <w:tab w:val="clear" w:pos="2160"/>
          <w:tab w:val="clear" w:pos="2880"/>
          <w:tab w:val="clear" w:pos="3600"/>
          <w:tab w:val="clear" w:pos="4320"/>
          <w:tab w:val="clear" w:pos="5040"/>
        </w:tabs>
        <w:sectPr w:rsidR="007C7690" w:rsidSect="007C7690">
          <w:type w:val="continuous"/>
          <w:pgSz w:w="12240" w:h="20160" w:code="5"/>
          <w:pgMar w:top="1440" w:right="2275" w:bottom="1440" w:left="2275" w:header="72" w:footer="720" w:gutter="0"/>
          <w:pgNumType w:start="1"/>
          <w:cols w:space="720"/>
          <w:docGrid w:linePitch="360"/>
        </w:sectPr>
      </w:pPr>
    </w:p>
    <w:p w:rsidR="00F32F8A" w:rsidRPr="00921F10" w:rsidRDefault="00F32F8A" w:rsidP="00F32F8A">
      <w:pPr>
        <w:pStyle w:val="HangingAnAct"/>
      </w:pPr>
      <w:r w:rsidRPr="00F32F8A">
        <w:rPr>
          <w:rStyle w:val="BillHead"/>
        </w:rPr>
        <w:t>A Senate Resolution</w:t>
      </w:r>
      <w:r w:rsidRPr="006B7FA7">
        <w:rPr>
          <w:rStyle w:val="HangingAnActChar"/>
        </w:rPr>
        <w:t xml:space="preserve"> </w:t>
      </w:r>
      <w:r w:rsidRPr="003E460E">
        <w:t xml:space="preserve">urging the </w:t>
      </w:r>
      <w:r>
        <w:t>President and Congress of the</w:t>
      </w:r>
      <w:r w:rsidRPr="003872BD">
        <w:t xml:space="preserve"> </w:t>
      </w:r>
      <w:smartTag w:uri="urn:schemas-microsoft-com:office:smarttags" w:element="place">
        <w:smartTag w:uri="urn:schemas-microsoft-com:office:smarttags" w:element="country-region">
          <w:r>
            <w:t>United States</w:t>
          </w:r>
        </w:smartTag>
      </w:smartTag>
      <w:r w:rsidRPr="003E460E">
        <w:t xml:space="preserve"> to enact legislation reinstating the separation between commercial and investment</w:t>
      </w:r>
      <w:r>
        <w:t xml:space="preserve"> banking</w:t>
      </w:r>
      <w:r w:rsidRPr="003E460E">
        <w:t>.</w:t>
      </w:r>
    </w:p>
    <w:p w:rsidR="00F32F8A" w:rsidRPr="00CE6F35" w:rsidRDefault="00F32F8A" w:rsidP="00F32F8A"/>
    <w:p w:rsidR="00F32F8A" w:rsidRDefault="00F32F8A" w:rsidP="00F32F8A">
      <w:pPr>
        <w:pStyle w:val="IndentHang"/>
      </w:pPr>
      <w:r w:rsidRPr="00391B81">
        <w:rPr>
          <w:b/>
          <w:bCs/>
          <w:smallCaps/>
        </w:rPr>
        <w:t>Whereas,</w:t>
      </w:r>
      <w:r w:rsidRPr="001C43C8">
        <w:t xml:space="preserve"> </w:t>
      </w:r>
      <w:r>
        <w:t>The United States Congress enacted section 20 of the “Banking Act of 1933,” Pub.L. 73-66 (12 U.S.C. s.377 et seq.) (commonly referred to as the “Glass-Steagall Act”) in order to eliminate the speculative activities which caused the collapse of the banking system during the Great Depression; and</w:t>
      </w:r>
    </w:p>
    <w:p w:rsidR="00F32F8A" w:rsidRPr="00152146" w:rsidRDefault="00F32F8A" w:rsidP="00F32F8A">
      <w:pPr>
        <w:pStyle w:val="IndentHang"/>
      </w:pPr>
      <w:r w:rsidRPr="00391B81">
        <w:rPr>
          <w:b/>
          <w:bCs/>
          <w:smallCaps/>
        </w:rPr>
        <w:t>Whereas,</w:t>
      </w:r>
      <w:r w:rsidRPr="001C43C8">
        <w:t xml:space="preserve"> </w:t>
      </w:r>
      <w:r>
        <w:t>The “Glass-Steagall Act” curbed speculative activities by erecting a firewall between commercial and investment banking; and</w:t>
      </w:r>
    </w:p>
    <w:p w:rsidR="00F32F8A" w:rsidRPr="001C43C8" w:rsidRDefault="00F32F8A" w:rsidP="00F32F8A">
      <w:pPr>
        <w:pStyle w:val="IndentHang"/>
      </w:pPr>
      <w:r w:rsidRPr="00391B81">
        <w:rPr>
          <w:b/>
          <w:bCs/>
          <w:smallCaps/>
        </w:rPr>
        <w:t>Whereas,</w:t>
      </w:r>
      <w:r w:rsidRPr="001C43C8">
        <w:t xml:space="preserve"> </w:t>
      </w:r>
      <w:r>
        <w:t>Following the repeal of the “Glass-Steagall Act” in 1999, commercial banks were permitted to merge with investment firms, insurance companies, mortgage companies, and other financial services firms to form vast conglomerates; and</w:t>
      </w:r>
    </w:p>
    <w:p w:rsidR="00F32F8A" w:rsidRPr="001C43C8" w:rsidRDefault="00F32F8A" w:rsidP="00F32F8A">
      <w:pPr>
        <w:pStyle w:val="IndentHang"/>
      </w:pPr>
      <w:r w:rsidRPr="00391B81">
        <w:rPr>
          <w:b/>
          <w:bCs/>
          <w:smallCaps/>
        </w:rPr>
        <w:t>Whereas,</w:t>
      </w:r>
      <w:r w:rsidRPr="001C43C8">
        <w:t xml:space="preserve"> </w:t>
      </w:r>
      <w:r>
        <w:t>Some of the newly formed financial conglomerates began engaging in irresponsible financial practices and speculative activities which brought them to the brink of failure and contributed to the collapse of the housing market; and</w:t>
      </w:r>
    </w:p>
    <w:p w:rsidR="00F32F8A" w:rsidRPr="001C43C8" w:rsidRDefault="00F32F8A" w:rsidP="00F32F8A">
      <w:pPr>
        <w:pStyle w:val="IndentHang"/>
      </w:pPr>
      <w:r w:rsidRPr="00391B81">
        <w:rPr>
          <w:b/>
          <w:bCs/>
          <w:smallCaps/>
        </w:rPr>
        <w:t>Whereas,</w:t>
      </w:r>
      <w:r w:rsidRPr="001C43C8">
        <w:t xml:space="preserve"> </w:t>
      </w:r>
      <w:r>
        <w:t>The collapse of the housing market helped trigger the worst recession since the Great Depression, which cost millions of jobs and hundreds of billions of taxpayer dollars to bailout financial conglomerates considered too big to fail; and</w:t>
      </w:r>
    </w:p>
    <w:p w:rsidR="00F32F8A" w:rsidRDefault="00F32F8A" w:rsidP="00F32F8A">
      <w:pPr>
        <w:pStyle w:val="IndentHang"/>
      </w:pPr>
      <w:r w:rsidRPr="00391B81">
        <w:rPr>
          <w:b/>
          <w:bCs/>
          <w:smallCaps/>
        </w:rPr>
        <w:t>Whereas,</w:t>
      </w:r>
      <w:r w:rsidRPr="001C43C8">
        <w:t xml:space="preserve"> </w:t>
      </w:r>
      <w:r>
        <w:t>Congress enacted the “</w:t>
      </w:r>
      <w:r w:rsidRPr="00834C94">
        <w:t>Dodd-Frank Wall Street Reform and Consumer Protection Act</w:t>
      </w:r>
      <w:r>
        <w:t>,” Pub.L. 111-203, in 2010, in response to the speculative activities and irresponsible financial practices which drove the economy into recession; and</w:t>
      </w:r>
    </w:p>
    <w:p w:rsidR="00F32F8A" w:rsidRDefault="00F32F8A" w:rsidP="00F32F8A">
      <w:pPr>
        <w:pStyle w:val="IndentHang"/>
      </w:pPr>
      <w:r w:rsidRPr="00391B81">
        <w:rPr>
          <w:b/>
          <w:bCs/>
          <w:smallCaps/>
        </w:rPr>
        <w:t>Whereas,</w:t>
      </w:r>
      <w:r w:rsidRPr="001C43C8">
        <w:t xml:space="preserve"> </w:t>
      </w:r>
      <w:r>
        <w:t>Although the purpose of the “</w:t>
      </w:r>
      <w:r w:rsidRPr="00834C94">
        <w:t>Dodd-Frank Wall Street Reform and Consumer Protection Act</w:t>
      </w:r>
      <w:r>
        <w:t>” was to address the root causes of the recession, the law does little to separate commercial and investment banking; and</w:t>
      </w:r>
    </w:p>
    <w:p w:rsidR="00F32F8A" w:rsidRDefault="00F32F8A" w:rsidP="00F32F8A">
      <w:pPr>
        <w:pStyle w:val="IndentHang"/>
      </w:pPr>
      <w:r w:rsidRPr="00391B81">
        <w:rPr>
          <w:b/>
          <w:bCs/>
          <w:smallCaps/>
        </w:rPr>
        <w:t>Whereas,</w:t>
      </w:r>
      <w:r>
        <w:rPr>
          <w:b/>
          <w:bCs/>
          <w:smallCaps/>
        </w:rPr>
        <w:t xml:space="preserve"> </w:t>
      </w:r>
      <w:r>
        <w:t>The “Return to Prudent Banking Act of 2017,” H.R.790 and the “21</w:t>
      </w:r>
      <w:r w:rsidRPr="003E460E">
        <w:rPr>
          <w:vertAlign w:val="superscript"/>
        </w:rPr>
        <w:t>st</w:t>
      </w:r>
      <w:r>
        <w:t xml:space="preserve"> Century Glass-Steagall Act of 2017,” H.R.2585 and S.881, would revive the separation between commercial banking and investment banking by imposing restrictions on affiliations between commercial banks and securities firms, and in a manner similar to that formerly provided in the “Glass-Steagall Act;” and</w:t>
      </w:r>
    </w:p>
    <w:p w:rsidR="00F32F8A" w:rsidRPr="00634B19" w:rsidRDefault="00F32F8A" w:rsidP="00F32F8A">
      <w:pPr>
        <w:pStyle w:val="IndentHang"/>
      </w:pPr>
      <w:r w:rsidRPr="00391B81">
        <w:rPr>
          <w:b/>
          <w:bCs/>
          <w:smallCaps/>
        </w:rPr>
        <w:t>Whereas,</w:t>
      </w:r>
      <w:r w:rsidRPr="001C43C8">
        <w:t xml:space="preserve"> </w:t>
      </w:r>
      <w:r>
        <w:t xml:space="preserve">Resolutions urging the President and U.S. Congress to enact a law similar to the “Glass-Steagall Act” have been introduced in at least 25 state legislatures and have been passed in </w:t>
      </w:r>
      <w:r w:rsidR="00DD4DE9">
        <w:t>at least four states; and</w:t>
      </w:r>
    </w:p>
    <w:p w:rsidR="00F32F8A" w:rsidRPr="00AA7880" w:rsidRDefault="00F32F8A" w:rsidP="00F32F8A">
      <w:pPr>
        <w:pStyle w:val="IndentHang"/>
      </w:pPr>
      <w:r w:rsidRPr="00391B81">
        <w:rPr>
          <w:b/>
          <w:bCs/>
          <w:smallCaps/>
        </w:rPr>
        <w:t>Whereas,</w:t>
      </w:r>
      <w:r w:rsidRPr="001C43C8">
        <w:t xml:space="preserve"> </w:t>
      </w:r>
      <w:r>
        <w:t xml:space="preserve">The reinstatement of the separation between commercial banking and </w:t>
      </w:r>
      <w:r w:rsidR="00923AB3">
        <w:t xml:space="preserve">investment </w:t>
      </w:r>
      <w:r>
        <w:t>banking is necessary to strengthen our financial system and to put an end to the irresponsible financial practices and speculative activities that led to the collapse of the housing market and the subsequent recession; now, therefore,</w:t>
      </w:r>
      <w:r>
        <w:br w:type="page"/>
      </w:r>
      <w:r>
        <w:rPr>
          <w:rStyle w:val="BillHeading2"/>
        </w:rPr>
        <w:t xml:space="preserve">Be It Resolved </w:t>
      </w:r>
      <w:r>
        <w:rPr>
          <w:rStyle w:val="BillLanguage"/>
        </w:rPr>
        <w:t>by the Senate of the State of New Jersey:</w:t>
      </w:r>
    </w:p>
    <w:p w:rsidR="00F32F8A" w:rsidRPr="00D71D68" w:rsidRDefault="00F32F8A" w:rsidP="00F32F8A"/>
    <w:p w:rsidR="00F32F8A" w:rsidRDefault="00F32F8A" w:rsidP="00F32F8A">
      <w:pPr>
        <w:rPr>
          <w:rStyle w:val="BillLanguage"/>
          <w:i w:val="0"/>
        </w:rPr>
      </w:pPr>
      <w:r>
        <w:tab/>
      </w:r>
      <w:r w:rsidRPr="00247657">
        <w:rPr>
          <w:rStyle w:val="BillLanguage"/>
          <w:i w:val="0"/>
        </w:rPr>
        <w:t>1.</w:t>
      </w:r>
      <w:r>
        <w:rPr>
          <w:rStyle w:val="BillLanguage"/>
          <w:i w:val="0"/>
        </w:rPr>
        <w:tab/>
        <w:t xml:space="preserve">This House respectfully urges the </w:t>
      </w:r>
      <w:r>
        <w:t>President and Congress of the</w:t>
      </w:r>
      <w:r w:rsidRPr="003872BD">
        <w:t xml:space="preserve"> </w:t>
      </w:r>
      <w:smartTag w:uri="urn:schemas-microsoft-com:office:smarttags" w:element="country-region">
        <w:smartTag w:uri="urn:schemas-microsoft-com:office:smarttags" w:element="place">
          <w:r>
            <w:t>United States</w:t>
          </w:r>
        </w:smartTag>
      </w:smartTag>
      <w:r>
        <w:rPr>
          <w:rStyle w:val="BillLanguage"/>
          <w:i w:val="0"/>
        </w:rPr>
        <w:t xml:space="preserve"> to </w:t>
      </w:r>
      <w:r w:rsidRPr="003E460E">
        <w:t>enact legislation reinstating the separation between commercial and investment banking functions that existed under the</w:t>
      </w:r>
      <w:r>
        <w:t xml:space="preserve"> “</w:t>
      </w:r>
      <w:r w:rsidRPr="003E460E">
        <w:t>Glass-Steagall Act.</w:t>
      </w:r>
      <w:r>
        <w:t>”</w:t>
      </w:r>
    </w:p>
    <w:p w:rsidR="00F32F8A" w:rsidRDefault="00F32F8A" w:rsidP="00F32F8A">
      <w:pPr>
        <w:rPr>
          <w:rStyle w:val="BillLanguage"/>
          <w:i w:val="0"/>
        </w:rPr>
      </w:pPr>
    </w:p>
    <w:p w:rsidR="00F32F8A" w:rsidRDefault="00F32F8A" w:rsidP="00F32F8A">
      <w:pPr>
        <w:rPr>
          <w:rStyle w:val="BillLanguage"/>
          <w:i w:val="0"/>
        </w:rPr>
      </w:pPr>
      <w:r>
        <w:rPr>
          <w:rStyle w:val="BillLanguage"/>
          <w:i w:val="0"/>
        </w:rPr>
        <w:tab/>
        <w:t>2.</w:t>
      </w:r>
      <w:r>
        <w:rPr>
          <w:rStyle w:val="BillLanguage"/>
          <w:i w:val="0"/>
        </w:rPr>
        <w:tab/>
        <w:t xml:space="preserve">Copies of this resolution, as filed with the Secretary of State, shall be transmitted by the Secretary of the Senate to the President of the </w:t>
      </w:r>
      <w:smartTag w:uri="urn:schemas-microsoft-com:office:smarttags" w:element="country-region">
        <w:smartTag w:uri="urn:schemas-microsoft-com:office:smarttags" w:element="place">
          <w:r>
            <w:rPr>
              <w:rStyle w:val="BillLanguage"/>
              <w:i w:val="0"/>
            </w:rPr>
            <w:t>United States</w:t>
          </w:r>
        </w:smartTag>
      </w:smartTag>
      <w:r>
        <w:rPr>
          <w:rStyle w:val="BillLanguage"/>
          <w:i w:val="0"/>
        </w:rPr>
        <w:t xml:space="preserve"> and to each member of the United States Congress.</w:t>
      </w:r>
    </w:p>
    <w:p w:rsidR="00F32F8A" w:rsidRDefault="00F32F8A" w:rsidP="00F32F8A"/>
    <w:p w:rsidR="00F32F8A" w:rsidRPr="00AA7880" w:rsidRDefault="00F32F8A" w:rsidP="00F32F8A"/>
    <w:p w:rsidR="00F32F8A" w:rsidRPr="00AA7880" w:rsidRDefault="00F32F8A" w:rsidP="00F32F8A">
      <w:pPr>
        <w:jc w:val="center"/>
      </w:pPr>
      <w:r w:rsidRPr="00D71D68">
        <w:t>STATEMENT</w:t>
      </w:r>
    </w:p>
    <w:p w:rsidR="00F32F8A" w:rsidRDefault="00F32F8A" w:rsidP="00F32F8A"/>
    <w:p w:rsidR="00F32F8A" w:rsidRDefault="00F32F8A" w:rsidP="00F32F8A">
      <w:r>
        <w:rPr>
          <w:rStyle w:val="HangingAnActChar"/>
        </w:rPr>
        <w:tab/>
        <w:t xml:space="preserve">This resolution urges the </w:t>
      </w:r>
      <w:r>
        <w:t>President and Congress of the</w:t>
      </w:r>
      <w:r w:rsidRPr="003872BD">
        <w:t xml:space="preserve"> </w:t>
      </w:r>
      <w:smartTag w:uri="urn:schemas-microsoft-com:office:smarttags" w:element="country-region">
        <w:smartTag w:uri="urn:schemas-microsoft-com:office:smarttags" w:element="place">
          <w:r>
            <w:t>United States</w:t>
          </w:r>
        </w:smartTag>
      </w:smartTag>
      <w:r>
        <w:rPr>
          <w:rStyle w:val="BillLanguage"/>
          <w:i w:val="0"/>
        </w:rPr>
        <w:t xml:space="preserve"> to </w:t>
      </w:r>
      <w:r w:rsidRPr="003E460E">
        <w:t xml:space="preserve">enact legislation reinstating the separation between commercial and investment banking functions that existed under the </w:t>
      </w:r>
      <w:r>
        <w:t>“</w:t>
      </w:r>
      <w:r w:rsidRPr="003E460E">
        <w:t>Glass-Steagall Act.</w:t>
      </w:r>
      <w:r>
        <w:t>”</w:t>
      </w:r>
    </w:p>
    <w:p w:rsidR="00F32F8A" w:rsidRDefault="00F32F8A" w:rsidP="00F32F8A">
      <w:r>
        <w:tab/>
        <w:t>The “Glass-Steagall Act” was enacted in 1933 to eliminate the speculative activities which caused the collapse of the banking system during the Great Depression.  The “Glass-Steagall Act” curbed speculative activities by erecting a firewall between commercial and investment banking.</w:t>
      </w:r>
    </w:p>
    <w:p w:rsidR="00F32F8A" w:rsidRDefault="00F32F8A" w:rsidP="00F32F8A">
      <w:r>
        <w:tab/>
        <w:t>Following the repeal of the “Glass-Steagall Act” in 1999, commercial banks merged with investment firms and other financial firms to form vast conglomerates.  The newly formed financial conglomerates began engaging in irresponsible financial practices and speculative activities which contributed to the collapse of the housing market and in turn led to the worst recession since the Great Depression.</w:t>
      </w:r>
    </w:p>
    <w:p w:rsidR="00F32F8A" w:rsidRDefault="00F32F8A" w:rsidP="00F32F8A">
      <w:r>
        <w:tab/>
        <w:t>Congress enacted the “Dodd-Frank Wall Street Reform and Consumer Protection Act” in 2010, to address the root causes of the recession.  However, the “</w:t>
      </w:r>
      <w:r w:rsidRPr="00834C94">
        <w:t>Dodd-Frank Wall Street Reform and Consumer Protection Act</w:t>
      </w:r>
      <w:r>
        <w:t>” does little to separate commercial and investment banking.</w:t>
      </w:r>
    </w:p>
    <w:p w:rsidR="00F32F8A" w:rsidRPr="00DD4DE9" w:rsidRDefault="00F32F8A">
      <w:pPr>
        <w:rPr>
          <w:spacing w:val="0"/>
        </w:rPr>
      </w:pPr>
      <w:r>
        <w:tab/>
        <w:t>Two bills currently introduced in the United States Congress, the “Return to Prudent Banking Act of 2017,” and the “21</w:t>
      </w:r>
      <w:r w:rsidRPr="003E460E">
        <w:rPr>
          <w:vertAlign w:val="superscript"/>
        </w:rPr>
        <w:t>st</w:t>
      </w:r>
      <w:r>
        <w:t xml:space="preserve"> Century Glass-Steagall Act,” of 2017 if enacted, would revive the separation between commercial banking and investment banking by imposing restrictions on affiliations between commercial banks and securities firms in a manner similar to that formerly provided in the “Glass-Steagall Act.” </w:t>
      </w:r>
      <w:r w:rsidRPr="00C83704">
        <w:t xml:space="preserve">The reinstatement of the separation between commercial banking and </w:t>
      </w:r>
      <w:r>
        <w:t xml:space="preserve">investment banking </w:t>
      </w:r>
      <w:r w:rsidRPr="00C83704">
        <w:t>is necessary to strengthen our financial system and to put an end to the irresponsible financial practices and speculative activiti</w:t>
      </w:r>
      <w:r>
        <w:t>es that le</w:t>
      </w:r>
      <w:r w:rsidRPr="00C83704">
        <w:t>d to the collapse of the housing market and the subsequent recession</w:t>
      </w:r>
      <w:r>
        <w:t>.</w:t>
      </w:r>
      <w:r w:rsidRPr="003E460E">
        <w:rPr>
          <w:spacing w:val="0"/>
        </w:rPr>
        <w:t xml:space="preserve"> </w:t>
      </w:r>
    </w:p>
    <w:sectPr w:rsidR="00F32F8A" w:rsidRPr="00DD4DE9" w:rsidSect="007C769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719" w:rsidRDefault="00B36719">
      <w:r>
        <w:separator/>
      </w:r>
    </w:p>
  </w:endnote>
  <w:endnote w:type="continuationSeparator" w:id="0">
    <w:p w:rsidR="00B36719" w:rsidRDefault="00B36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719" w:rsidRDefault="00B36719">
      <w:r>
        <w:separator/>
      </w:r>
    </w:p>
  </w:footnote>
  <w:footnote w:type="continuationSeparator" w:id="0">
    <w:p w:rsidR="00B36719" w:rsidRDefault="00B36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4D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7690" w:rsidRDefault="007C7690" w:rsidP="007C7690">
    <w:pPr>
      <w:pStyle w:val="bpuHeadSpon"/>
    </w:pPr>
    <w:r w:rsidRPr="007C7690">
      <w:rPr>
        <w:rStyle w:val="bpuHeadSponChar"/>
      </w:rPr>
      <w:t>SR43</w:t>
    </w:r>
    <w:r>
      <w:t xml:space="preserve"> TURNER</w:t>
    </w:r>
  </w:p>
  <w:p w:rsidR="007C7690" w:rsidRDefault="007C7690" w:rsidP="007C7690">
    <w:pPr>
      <w:pStyle w:val="bpuHeadSpon"/>
    </w:pPr>
    <w:r>
      <w:fldChar w:fldCharType="begin"/>
    </w:r>
    <w:r>
      <w:instrText xml:space="preserve"> PAGE  \* MERGEFORMAT </w:instrText>
    </w:r>
    <w:r>
      <w:fldChar w:fldCharType="separate"/>
    </w:r>
    <w:r w:rsidR="00EA7520">
      <w:rPr>
        <w:noProof/>
      </w:rPr>
      <w:t>3</w:t>
    </w:r>
    <w:r>
      <w:fldChar w:fldCharType="end"/>
    </w:r>
  </w:p>
  <w:p w:rsidR="007C7690" w:rsidRDefault="007C7690" w:rsidP="007C76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7690" w:rsidRDefault="007C7690" w:rsidP="007C7690">
    <w:pPr>
      <w:pStyle w:val="bpuHeadSpon"/>
    </w:pPr>
    <w:r w:rsidRPr="007C7690">
      <w:rPr>
        <w:rStyle w:val="bpuHeadSponChar"/>
      </w:rPr>
      <w:t>SR43</w:t>
    </w:r>
    <w:r>
      <w:t xml:space="preserve"> TURNER</w:t>
    </w:r>
  </w:p>
  <w:p w:rsidR="007C7690" w:rsidRDefault="007C7690" w:rsidP="007C7690">
    <w:pPr>
      <w:pStyle w:val="bpuHeadSpon"/>
    </w:pPr>
    <w:r>
      <w:fldChar w:fldCharType="begin"/>
    </w:r>
    <w:r>
      <w:instrText xml:space="preserve"> PAGE  \* MERGEFORMAT </w:instrText>
    </w:r>
    <w:r>
      <w:fldChar w:fldCharType="separate"/>
    </w:r>
    <w:r w:rsidR="00EA7520">
      <w:rPr>
        <w:noProof/>
      </w:rPr>
      <w:t>2</w:t>
    </w:r>
    <w:r>
      <w:fldChar w:fldCharType="end"/>
    </w:r>
  </w:p>
  <w:p w:rsidR="007C7690" w:rsidRDefault="007C7690" w:rsidP="007C76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7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69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EE3"/>
    <w:rsid w:val="004A3009"/>
    <w:rsid w:val="004A6940"/>
    <w:rsid w:val="004A77A4"/>
    <w:rsid w:val="004C742C"/>
    <w:rsid w:val="004E1F3E"/>
    <w:rsid w:val="004F21BD"/>
    <w:rsid w:val="004F4F1D"/>
    <w:rsid w:val="004F53C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69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2A9"/>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AB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71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32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3E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DDB"/>
    <w:rsid w:val="00D9410B"/>
    <w:rsid w:val="00D9695B"/>
    <w:rsid w:val="00DA2417"/>
    <w:rsid w:val="00DA5585"/>
    <w:rsid w:val="00DB02AC"/>
    <w:rsid w:val="00DB6AA2"/>
    <w:rsid w:val="00DD4DE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520"/>
    <w:rsid w:val="00EA7C16"/>
    <w:rsid w:val="00EC5281"/>
    <w:rsid w:val="00EC791D"/>
    <w:rsid w:val="00EC7CA6"/>
    <w:rsid w:val="00ED3C5D"/>
    <w:rsid w:val="00ED4553"/>
    <w:rsid w:val="00F00D08"/>
    <w:rsid w:val="00F15583"/>
    <w:rsid w:val="00F200EE"/>
    <w:rsid w:val="00F22481"/>
    <w:rsid w:val="00F2542E"/>
    <w:rsid w:val="00F27278"/>
    <w:rsid w:val="00F32F8A"/>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87E1C7AC-6723-4D85-A22A-6771A0128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32F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C7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797</Words>
  <Characters>4619</Characters>
  <Application>Microsoft Office Word</Application>
  <DocSecurity>0</DocSecurity>
  <Lines>119</Lines>
  <Paragraphs>30</Paragraphs>
  <ScaleCrop>false</ScaleCrop>
  <HeadingPairs>
    <vt:vector size="2" baseType="variant">
      <vt:variant>
        <vt:lpstr>Title</vt:lpstr>
      </vt:variant>
      <vt:variant>
        <vt:i4>1</vt:i4>
      </vt:variant>
    </vt:vector>
  </HeadingPairs>
  <TitlesOfParts>
    <vt:vector size="1" baseType="lpstr">
      <vt:lpstr>SR43</vt:lpstr>
    </vt:vector>
  </TitlesOfParts>
  <Manager>R230</Manager>
  <Company>NJ Office of Legislative Services</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SR43</dc:title>
  <dc:subject>BANKING AND FINANCE</dc:subject>
  <dc:creator>Senator  TURNER</dc:creator>
  <cp:keywords>SR43|3|CL |307|0|307|N|0|</cp:keywords>
  <dc:description>INTRODUCED FEBRUARY 13, 2020</dc:description>
  <cp:lastModifiedBy>Sommers, Shelly</cp:lastModifiedBy>
  <cp:revision>2</cp:revision>
  <cp:lastPrinted>2005-10-12T19:02:00Z</cp:lastPrinted>
  <dcterms:created xsi:type="dcterms:W3CDTF">2020-02-14T15:38:00Z</dcterms:created>
  <dcterms:modified xsi:type="dcterms:W3CDTF">2020-02-14T15:38:00Z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